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E69B" w14:textId="580A5B84" w:rsidR="00CD3961" w:rsidRPr="007F3180" w:rsidRDefault="009C62B8" w:rsidP="00A565E6">
      <w:pPr>
        <w:jc w:val="center"/>
        <w:rPr>
          <w:rFonts w:ascii="Times New Roman" w:hAnsi="Times New Roman" w:cs="Times New Roman"/>
          <w:b/>
          <w:bCs/>
          <w:sz w:val="24"/>
          <w:szCs w:val="24"/>
        </w:rPr>
      </w:pPr>
      <w:bookmarkStart w:id="0" w:name="_Hlk132883389"/>
      <w:r w:rsidRPr="007F3180">
        <w:rPr>
          <w:rFonts w:ascii="Times New Roman" w:hAnsi="Times New Roman" w:cs="Times New Roman"/>
          <w:b/>
          <w:bCs/>
          <w:sz w:val="24"/>
          <w:szCs w:val="24"/>
        </w:rPr>
        <w:t>Taotlusvooru „</w:t>
      </w:r>
      <w:r w:rsidR="00C12232" w:rsidRPr="007F3180">
        <w:rPr>
          <w:rFonts w:ascii="Times New Roman" w:eastAsia="Calibri" w:hAnsi="Times New Roman" w:cs="Times New Roman"/>
          <w:b/>
          <w:bCs/>
          <w:sz w:val="24"/>
          <w:szCs w:val="24"/>
          <w:lang w:bidi="en-US"/>
        </w:rPr>
        <w:t>Ida-Virumaa ettevõtlust</w:t>
      </w:r>
      <w:r w:rsidR="00E201B8" w:rsidRPr="007F3180">
        <w:rPr>
          <w:rFonts w:ascii="Times New Roman" w:eastAsia="Calibri" w:hAnsi="Times New Roman" w:cs="Times New Roman"/>
          <w:b/>
          <w:bCs/>
          <w:sz w:val="24"/>
          <w:szCs w:val="24"/>
          <w:lang w:bidi="en-US"/>
        </w:rPr>
        <w:t xml:space="preserve"> edendavad </w:t>
      </w:r>
      <w:r w:rsidR="00A565E6" w:rsidRPr="007F3180">
        <w:rPr>
          <w:rFonts w:ascii="Times New Roman" w:hAnsi="Times New Roman" w:cs="Times New Roman"/>
          <w:b/>
          <w:bCs/>
          <w:sz w:val="24"/>
          <w:szCs w:val="24"/>
        </w:rPr>
        <w:t xml:space="preserve">spordi- ja kultuuriüritused“ </w:t>
      </w:r>
      <w:bookmarkEnd w:id="0"/>
      <w:r w:rsidR="00CD3961" w:rsidRPr="007F3180">
        <w:rPr>
          <w:rFonts w:ascii="Times New Roman" w:hAnsi="Times New Roman" w:cs="Times New Roman"/>
          <w:b/>
          <w:bCs/>
          <w:sz w:val="24"/>
          <w:szCs w:val="24"/>
        </w:rPr>
        <w:t xml:space="preserve"> </w:t>
      </w:r>
      <w:r w:rsidR="006C6CD3" w:rsidRPr="007F3180">
        <w:rPr>
          <w:rFonts w:ascii="Times New Roman" w:hAnsi="Times New Roman" w:cs="Times New Roman"/>
          <w:b/>
          <w:bCs/>
          <w:sz w:val="24"/>
          <w:szCs w:val="24"/>
        </w:rPr>
        <w:t xml:space="preserve">hindamiskomisjoni töökord ja </w:t>
      </w:r>
      <w:r w:rsidR="004A44AA" w:rsidRPr="007F3180">
        <w:rPr>
          <w:rFonts w:ascii="Times New Roman" w:hAnsi="Times New Roman" w:cs="Times New Roman"/>
          <w:b/>
          <w:bCs/>
          <w:sz w:val="24"/>
          <w:szCs w:val="24"/>
        </w:rPr>
        <w:t>hindamismetoodika</w:t>
      </w:r>
    </w:p>
    <w:p w14:paraId="45726D8B" w14:textId="77777777" w:rsidR="00F416E6" w:rsidRPr="007F3180" w:rsidRDefault="00F416E6" w:rsidP="00210DFA">
      <w:pPr>
        <w:pStyle w:val="Default"/>
        <w:spacing w:after="120"/>
        <w:jc w:val="both"/>
      </w:pPr>
    </w:p>
    <w:p w14:paraId="51E143F6" w14:textId="12C331E8" w:rsidR="00F416E6" w:rsidRPr="007F3180" w:rsidRDefault="00E943D3" w:rsidP="00210DFA">
      <w:pPr>
        <w:pStyle w:val="Default"/>
        <w:numPr>
          <w:ilvl w:val="0"/>
          <w:numId w:val="2"/>
        </w:numPr>
        <w:spacing w:after="120"/>
        <w:jc w:val="both"/>
      </w:pPr>
      <w:r w:rsidRPr="007F3180">
        <w:rPr>
          <w:b/>
          <w:bCs/>
        </w:rPr>
        <w:t>HINDAMIS</w:t>
      </w:r>
      <w:r w:rsidR="00F416E6" w:rsidRPr="007F3180">
        <w:rPr>
          <w:b/>
          <w:bCs/>
        </w:rPr>
        <w:t>KOMISJONI TÖÖKORD JA TAOTLUSTE HINDAMINE</w:t>
      </w:r>
    </w:p>
    <w:p w14:paraId="0D995855" w14:textId="4EDE6D99" w:rsidR="00C80CDA" w:rsidRPr="007F3180" w:rsidRDefault="00C80CDA" w:rsidP="00210DFA">
      <w:pPr>
        <w:spacing w:after="120" w:line="240" w:lineRule="auto"/>
        <w:jc w:val="both"/>
        <w:rPr>
          <w:rFonts w:ascii="Times New Roman" w:hAnsi="Times New Roman" w:cs="Times New Roman"/>
          <w:b/>
          <w:sz w:val="24"/>
          <w:szCs w:val="24"/>
        </w:rPr>
      </w:pPr>
    </w:p>
    <w:p w14:paraId="0F4F0D38" w14:textId="41C772A1" w:rsidR="00C80CDA" w:rsidRPr="007F3180" w:rsidRDefault="00954F7E" w:rsidP="00210DFA">
      <w:pPr>
        <w:pStyle w:val="Default"/>
        <w:numPr>
          <w:ilvl w:val="1"/>
          <w:numId w:val="11"/>
        </w:numPr>
        <w:spacing w:after="120"/>
        <w:jc w:val="both"/>
      </w:pPr>
      <w:r w:rsidRPr="007F3180">
        <w:t>Taotlusvooru „</w:t>
      </w:r>
      <w:r w:rsidR="00C12232" w:rsidRPr="007F3180">
        <w:rPr>
          <w:rFonts w:eastAsia="Calibri"/>
          <w:lang w:bidi="en-US"/>
        </w:rPr>
        <w:t xml:space="preserve">Ida-Virumaa ettevõtlust edendavad </w:t>
      </w:r>
      <w:r w:rsidR="00A565E6" w:rsidRPr="007F3180">
        <w:rPr>
          <w:rFonts w:eastAsia="Calibri"/>
          <w:lang w:bidi="en-US"/>
        </w:rPr>
        <w:t>spordi- ja kultuuriüritus</w:t>
      </w:r>
      <w:r w:rsidR="006922C0" w:rsidRPr="007F3180">
        <w:rPr>
          <w:rFonts w:eastAsia="Calibri"/>
          <w:lang w:bidi="en-US"/>
        </w:rPr>
        <w:t>ed</w:t>
      </w:r>
      <w:r w:rsidRPr="007F3180">
        <w:t>“ t</w:t>
      </w:r>
      <w:r w:rsidR="00CA4E46" w:rsidRPr="007F3180">
        <w:t>aotluste</w:t>
      </w:r>
      <w:r w:rsidRPr="007F3180">
        <w:t>le</w:t>
      </w:r>
      <w:r w:rsidR="00CA4E46" w:rsidRPr="007F3180">
        <w:t xml:space="preserve"> ja taotlejate</w:t>
      </w:r>
      <w:r w:rsidRPr="007F3180">
        <w:t>le</w:t>
      </w:r>
      <w:r w:rsidR="00CA4E46" w:rsidRPr="007F3180">
        <w:t xml:space="preserve"> </w:t>
      </w:r>
      <w:r w:rsidRPr="007F3180">
        <w:t xml:space="preserve">esitatud nõuetele </w:t>
      </w:r>
      <w:r w:rsidR="00CA4E46" w:rsidRPr="007F3180">
        <w:t>vastavaks</w:t>
      </w:r>
      <w:r w:rsidR="00C80CDA" w:rsidRPr="007F3180">
        <w:t xml:space="preserve"> tunnistatud taotlusi hindab </w:t>
      </w:r>
      <w:r w:rsidR="001A50A9" w:rsidRPr="007F3180">
        <w:t xml:space="preserve">Integratsiooni Sihtasustuse </w:t>
      </w:r>
      <w:r w:rsidR="00C80CDA" w:rsidRPr="007F3180">
        <w:t xml:space="preserve">moodustatud hindamiskomisjon (edaspidi komisjon) </w:t>
      </w:r>
      <w:r w:rsidR="00C12232" w:rsidRPr="007F3180">
        <w:t>riigihalduse ministri</w:t>
      </w:r>
      <w:r w:rsidR="00E201B8" w:rsidRPr="007F3180">
        <w:t xml:space="preserve"> </w:t>
      </w:r>
      <w:r w:rsidR="00A565E6" w:rsidRPr="007F3180">
        <w:rPr>
          <w:color w:val="202020"/>
          <w:shd w:val="clear" w:color="auto" w:fill="FFFFFF"/>
        </w:rPr>
        <w:t>13.04</w:t>
      </w:r>
      <w:r w:rsidR="00E201B8" w:rsidRPr="007F3180">
        <w:rPr>
          <w:color w:val="202020"/>
          <w:shd w:val="clear" w:color="auto" w:fill="FFFFFF"/>
        </w:rPr>
        <w:t>.20</w:t>
      </w:r>
      <w:r w:rsidR="00A565E6" w:rsidRPr="007F3180">
        <w:rPr>
          <w:color w:val="202020"/>
          <w:shd w:val="clear" w:color="auto" w:fill="FFFFFF"/>
        </w:rPr>
        <w:t>20</w:t>
      </w:r>
      <w:r w:rsidR="00E201B8" w:rsidRPr="007F3180">
        <w:t xml:space="preserve"> määruse nr 1</w:t>
      </w:r>
      <w:r w:rsidR="00A565E6" w:rsidRPr="007F3180">
        <w:t>3</w:t>
      </w:r>
      <w:r w:rsidR="009446F5" w:rsidRPr="007F3180">
        <w:t xml:space="preserve"> „</w:t>
      </w:r>
      <w:r w:rsidR="00C12232" w:rsidRPr="007F3180">
        <w:rPr>
          <w:rFonts w:eastAsia="Calibri"/>
          <w:bCs/>
          <w:lang w:bidi="en-US"/>
        </w:rPr>
        <w:t xml:space="preserve">Ida-Virumaa ettevõtlust edendavate </w:t>
      </w:r>
      <w:r w:rsidR="00A565E6" w:rsidRPr="007F3180">
        <w:rPr>
          <w:rFonts w:eastAsia="Calibri"/>
          <w:bCs/>
          <w:lang w:bidi="en-US"/>
        </w:rPr>
        <w:t>spordi- ja kultuuriürituste</w:t>
      </w:r>
      <w:r w:rsidR="00A35C0A" w:rsidRPr="007F3180">
        <w:rPr>
          <w:rFonts w:eastAsia="Calibri"/>
          <w:bCs/>
          <w:lang w:bidi="en-US"/>
        </w:rPr>
        <w:t xml:space="preserve"> toetamise tingimused ja kord“</w:t>
      </w:r>
      <w:r w:rsidR="00553FA0" w:rsidRPr="007F3180">
        <w:rPr>
          <w:rFonts w:eastAsia="Calibri"/>
          <w:lang w:bidi="en-US"/>
        </w:rPr>
        <w:t xml:space="preserve"> (edaspidi määrus)</w:t>
      </w:r>
      <w:r w:rsidR="00E201B8" w:rsidRPr="007F3180">
        <w:t xml:space="preserve"> § 1</w:t>
      </w:r>
      <w:r w:rsidR="00A565E6" w:rsidRPr="007F3180">
        <w:t>1</w:t>
      </w:r>
      <w:r w:rsidR="00E201B8" w:rsidRPr="007F3180">
        <w:t xml:space="preserve"> lõikes 2 sätestatud</w:t>
      </w:r>
      <w:r w:rsidR="00C80CDA" w:rsidRPr="007F3180">
        <w:t xml:space="preserve"> hindamiskriteeriumite ja osakaalude alusel ning lähtudes käesolevast komisjoni töökorra</w:t>
      </w:r>
      <w:r w:rsidR="00E201B8" w:rsidRPr="007F3180">
        <w:t xml:space="preserve"> punktist 2</w:t>
      </w:r>
      <w:r w:rsidR="00C80CDA" w:rsidRPr="007F3180">
        <w:t xml:space="preserve">. </w:t>
      </w:r>
      <w:r w:rsidR="009020EF" w:rsidRPr="007F3180">
        <w:rPr>
          <w:color w:val="auto"/>
        </w:rPr>
        <w:t>Komisjoni tööd korraldab Integratsiooni Sihtasutuse rakenduskeskus.</w:t>
      </w:r>
    </w:p>
    <w:p w14:paraId="7C25A8E9" w14:textId="7787B28E" w:rsidR="00344075" w:rsidRPr="007F3180" w:rsidRDefault="00C80CDA" w:rsidP="00210DFA">
      <w:pPr>
        <w:pStyle w:val="Default"/>
        <w:numPr>
          <w:ilvl w:val="1"/>
          <w:numId w:val="11"/>
        </w:numPr>
        <w:spacing w:after="120"/>
        <w:jc w:val="both"/>
      </w:pPr>
      <w:r w:rsidRPr="007F3180">
        <w:t xml:space="preserve">Komisjon </w:t>
      </w:r>
      <w:r w:rsidR="00344075" w:rsidRPr="007F3180">
        <w:t>koosneb</w:t>
      </w:r>
      <w:r w:rsidRPr="007F3180">
        <w:t xml:space="preserve"> kuni </w:t>
      </w:r>
      <w:r w:rsidR="006019BC" w:rsidRPr="007F3180">
        <w:t>5</w:t>
      </w:r>
      <w:r w:rsidR="00344075" w:rsidRPr="007F3180">
        <w:t xml:space="preserve"> hääleõiguslikust </w:t>
      </w:r>
      <w:r w:rsidRPr="007F3180">
        <w:t>liikme</w:t>
      </w:r>
      <w:r w:rsidR="00344075" w:rsidRPr="007F3180">
        <w:t>st</w:t>
      </w:r>
      <w:r w:rsidRPr="007F3180">
        <w:t xml:space="preserve"> ning moodustatakse valdkonna ekspertidest ja </w:t>
      </w:r>
      <w:r w:rsidR="00C12232" w:rsidRPr="007F3180">
        <w:rPr>
          <w:color w:val="auto"/>
          <w:shd w:val="clear" w:color="auto" w:fill="FFFFFF"/>
        </w:rPr>
        <w:t>Regionaal- ja Põllumajandusministeeriumi</w:t>
      </w:r>
      <w:r w:rsidR="00E201B8" w:rsidRPr="007F3180">
        <w:rPr>
          <w:color w:val="auto"/>
        </w:rPr>
        <w:t xml:space="preserve"> </w:t>
      </w:r>
      <w:r w:rsidRPr="007F3180">
        <w:t>esindaja(te)st</w:t>
      </w:r>
      <w:r w:rsidR="00344075" w:rsidRPr="007F3180">
        <w:t>. Komisjon kaasab vajaduse korral hindamisprotsessi täiendavaid hääleõiguseta eksperte.</w:t>
      </w:r>
    </w:p>
    <w:p w14:paraId="00494F43" w14:textId="29D24EB2" w:rsidR="00C80CDA" w:rsidRPr="007F3180" w:rsidRDefault="00C80CDA" w:rsidP="00210DFA">
      <w:pPr>
        <w:pStyle w:val="Default"/>
        <w:numPr>
          <w:ilvl w:val="1"/>
          <w:numId w:val="11"/>
        </w:numPr>
        <w:spacing w:after="120"/>
        <w:jc w:val="both"/>
      </w:pPr>
      <w:r w:rsidRPr="007F3180">
        <w:t xml:space="preserve">Komisjoni töövorm on koosolek. Koosolek võib toimuda ka e-koosolekuna. Koosoleku kutsub kokku ja </w:t>
      </w:r>
      <w:r w:rsidR="00344075" w:rsidRPr="007F3180">
        <w:t>hääleõiguseta liikme</w:t>
      </w:r>
      <w:r w:rsidR="0018547B" w:rsidRPr="007F3180">
        <w:t>na</w:t>
      </w:r>
      <w:r w:rsidRPr="007F3180">
        <w:t xml:space="preserve"> juhib </w:t>
      </w:r>
      <w:r w:rsidR="00344075" w:rsidRPr="007F3180">
        <w:t xml:space="preserve">seda </w:t>
      </w:r>
      <w:r w:rsidRPr="007F3180">
        <w:t xml:space="preserve">komisjoni </w:t>
      </w:r>
      <w:r w:rsidR="007C35DB" w:rsidRPr="007F3180">
        <w:t>juhataja</w:t>
      </w:r>
      <w:r w:rsidR="00344075" w:rsidRPr="007F3180">
        <w:t xml:space="preserve"> ning protokollib komisjoni sekretär.</w:t>
      </w:r>
    </w:p>
    <w:p w14:paraId="17727F95" w14:textId="14F61D11" w:rsidR="00C80CDA" w:rsidRPr="007F3180" w:rsidRDefault="00C80CDA" w:rsidP="00210DFA">
      <w:pPr>
        <w:pStyle w:val="Vahedeta"/>
        <w:numPr>
          <w:ilvl w:val="1"/>
          <w:numId w:val="11"/>
        </w:numPr>
        <w:spacing w:after="120"/>
        <w:jc w:val="both"/>
        <w:rPr>
          <w:rFonts w:ascii="Times New Roman" w:hAnsi="Times New Roman" w:cs="Times New Roman"/>
          <w:sz w:val="24"/>
          <w:szCs w:val="24"/>
        </w:rPr>
      </w:pPr>
      <w:r w:rsidRPr="007F3180">
        <w:rPr>
          <w:rFonts w:ascii="Times New Roman" w:hAnsi="Times New Roman" w:cs="Times New Roman"/>
          <w:sz w:val="24"/>
          <w:szCs w:val="24"/>
        </w:rPr>
        <w:t xml:space="preserve">Komisjon on otsustusvõimeline ja võib alustada tööd, kui koosolekust võtab osa üle poole </w:t>
      </w:r>
      <w:r w:rsidR="0020174C" w:rsidRPr="007F3180">
        <w:rPr>
          <w:rFonts w:ascii="Times New Roman" w:hAnsi="Times New Roman" w:cs="Times New Roman"/>
          <w:sz w:val="24"/>
          <w:szCs w:val="24"/>
        </w:rPr>
        <w:t xml:space="preserve">hääleõiguslikest </w:t>
      </w:r>
      <w:r w:rsidRPr="007F3180">
        <w:rPr>
          <w:rFonts w:ascii="Times New Roman" w:hAnsi="Times New Roman" w:cs="Times New Roman"/>
          <w:sz w:val="24"/>
          <w:szCs w:val="24"/>
        </w:rPr>
        <w:t>liikmetest.</w:t>
      </w:r>
    </w:p>
    <w:p w14:paraId="1E95287F" w14:textId="40C5C4C1" w:rsidR="00C80CDA" w:rsidRPr="007F3180" w:rsidRDefault="00C80CDA" w:rsidP="00210DFA">
      <w:pPr>
        <w:pStyle w:val="Vahedeta"/>
        <w:numPr>
          <w:ilvl w:val="1"/>
          <w:numId w:val="11"/>
        </w:numPr>
        <w:spacing w:after="120"/>
        <w:jc w:val="both"/>
        <w:rPr>
          <w:rFonts w:ascii="Times New Roman" w:hAnsi="Times New Roman" w:cs="Times New Roman"/>
          <w:sz w:val="24"/>
          <w:szCs w:val="24"/>
        </w:rPr>
      </w:pPr>
      <w:r w:rsidRPr="007F3180">
        <w:rPr>
          <w:rFonts w:ascii="Times New Roman" w:hAnsi="Times New Roman" w:cs="Times New Roman"/>
          <w:sz w:val="24"/>
          <w:szCs w:val="24"/>
        </w:rPr>
        <w:t xml:space="preserve">Komisjoni liikmed </w:t>
      </w:r>
      <w:r w:rsidR="00C63EA6" w:rsidRPr="007F3180">
        <w:rPr>
          <w:rFonts w:ascii="Times New Roman" w:hAnsi="Times New Roman" w:cs="Times New Roman"/>
          <w:sz w:val="24"/>
          <w:szCs w:val="24"/>
        </w:rPr>
        <w:t xml:space="preserve">ja eksperdid </w:t>
      </w:r>
      <w:r w:rsidRPr="007F3180">
        <w:rPr>
          <w:rFonts w:ascii="Times New Roman" w:hAnsi="Times New Roman" w:cs="Times New Roman"/>
          <w:sz w:val="24"/>
          <w:szCs w:val="24"/>
        </w:rPr>
        <w:t xml:space="preserve">kinnitavad </w:t>
      </w:r>
      <w:r w:rsidR="00C63EA6" w:rsidRPr="007F3180">
        <w:rPr>
          <w:rFonts w:ascii="Times New Roman" w:hAnsi="Times New Roman" w:cs="Times New Roman"/>
          <w:sz w:val="24"/>
          <w:szCs w:val="24"/>
        </w:rPr>
        <w:t xml:space="preserve">kooskõlas korruptsioonivastase seadusega </w:t>
      </w:r>
      <w:r w:rsidRPr="007F3180">
        <w:rPr>
          <w:rFonts w:ascii="Times New Roman" w:hAnsi="Times New Roman" w:cs="Times New Roman"/>
          <w:sz w:val="24"/>
          <w:szCs w:val="24"/>
        </w:rPr>
        <w:t xml:space="preserve">enne hindamist oma erapooletust ja sõltumatust hinnatavatest taotlustest ja taotlejatest, allkirjastades </w:t>
      </w:r>
      <w:r w:rsidR="000B2199" w:rsidRPr="007F3180">
        <w:rPr>
          <w:rFonts w:ascii="Times New Roman" w:hAnsi="Times New Roman" w:cs="Times New Roman"/>
          <w:sz w:val="24"/>
          <w:szCs w:val="24"/>
        </w:rPr>
        <w:t xml:space="preserve">objektiivsuse ja konfidentsiaalsuse </w:t>
      </w:r>
      <w:r w:rsidR="006019BC" w:rsidRPr="007F3180">
        <w:rPr>
          <w:rFonts w:ascii="Times New Roman" w:hAnsi="Times New Roman" w:cs="Times New Roman"/>
          <w:sz w:val="24"/>
          <w:szCs w:val="24"/>
        </w:rPr>
        <w:t>kinnituse</w:t>
      </w:r>
      <w:r w:rsidRPr="007F3180">
        <w:rPr>
          <w:rFonts w:ascii="Times New Roman" w:hAnsi="Times New Roman" w:cs="Times New Roman"/>
          <w:sz w:val="24"/>
          <w:szCs w:val="24"/>
        </w:rPr>
        <w:t>. Seotuse olemasolu</w:t>
      </w:r>
      <w:r w:rsidR="00CA4E46" w:rsidRPr="007F3180">
        <w:rPr>
          <w:rFonts w:ascii="Times New Roman" w:hAnsi="Times New Roman" w:cs="Times New Roman"/>
          <w:sz w:val="24"/>
          <w:szCs w:val="24"/>
        </w:rPr>
        <w:t xml:space="preserve">l see </w:t>
      </w:r>
      <w:r w:rsidRPr="007F3180">
        <w:rPr>
          <w:rFonts w:ascii="Times New Roman" w:hAnsi="Times New Roman" w:cs="Times New Roman"/>
          <w:sz w:val="24"/>
          <w:szCs w:val="24"/>
        </w:rPr>
        <w:t>fikseeritakse ning komisjoni liige taandab end otsustusprotsessist</w:t>
      </w:r>
      <w:r w:rsidR="00C63EA6" w:rsidRPr="007F3180">
        <w:rPr>
          <w:rFonts w:ascii="Times New Roman" w:hAnsi="Times New Roman" w:cs="Times New Roman"/>
          <w:sz w:val="24"/>
          <w:szCs w:val="24"/>
        </w:rPr>
        <w:t xml:space="preserve"> haldusmenetluse seaduse §-s 10 sätestatud tingimustel ja korras.</w:t>
      </w:r>
    </w:p>
    <w:p w14:paraId="5B3F58DF" w14:textId="7E1A0710" w:rsidR="00C80CDA" w:rsidRPr="007F3180" w:rsidRDefault="00C80CDA" w:rsidP="00210DFA">
      <w:pPr>
        <w:pStyle w:val="Default"/>
        <w:numPr>
          <w:ilvl w:val="1"/>
          <w:numId w:val="11"/>
        </w:numPr>
        <w:spacing w:after="120"/>
        <w:jc w:val="both"/>
      </w:pPr>
      <w:r w:rsidRPr="007F3180">
        <w:t xml:space="preserve">Taotluse hindamisel võetakse arvesse nii taotluses sisalduv kui </w:t>
      </w:r>
      <w:r w:rsidR="00A1642C" w:rsidRPr="007F3180">
        <w:t xml:space="preserve">ka </w:t>
      </w:r>
      <w:r w:rsidRPr="007F3180">
        <w:t>taotlejalt hindamise käigus täiendavalt küsitud lisateave, samuti muud komisjoni liikmetele ning kaasatud ekspertidele teadaolevad hindamist mõjutavad asjaolud.</w:t>
      </w:r>
    </w:p>
    <w:p w14:paraId="450AB5AD" w14:textId="1DFCB593" w:rsidR="00C80CDA" w:rsidRPr="007F3180" w:rsidRDefault="00C80CDA" w:rsidP="00210DFA">
      <w:pPr>
        <w:pStyle w:val="Default"/>
        <w:numPr>
          <w:ilvl w:val="1"/>
          <w:numId w:val="11"/>
        </w:numPr>
        <w:spacing w:after="120"/>
        <w:jc w:val="both"/>
      </w:pPr>
      <w:r w:rsidRPr="007F3180">
        <w:t xml:space="preserve">Komisjon hindab taotlusi </w:t>
      </w:r>
      <w:r w:rsidR="006C6CD3" w:rsidRPr="007F3180">
        <w:t>hindamis</w:t>
      </w:r>
      <w:r w:rsidR="009809AB" w:rsidRPr="007F3180">
        <w:t>kriteeriumi</w:t>
      </w:r>
      <w:r w:rsidR="00604A87" w:rsidRPr="007F3180">
        <w:t>t</w:t>
      </w:r>
      <w:r w:rsidR="009809AB" w:rsidRPr="007F3180">
        <w:t xml:space="preserve">e </w:t>
      </w:r>
      <w:r w:rsidRPr="007F3180">
        <w:t>punktiskaalal täisarvudes. Hindamisel valitakse hinne, mis vastab kõige enam taotluses nimetatud asjaoludele. Hindeid tuleb põhjendada.</w:t>
      </w:r>
    </w:p>
    <w:p w14:paraId="442F9775" w14:textId="3713BAAC" w:rsidR="00C80CDA" w:rsidRPr="007F3180" w:rsidRDefault="00C63EA6" w:rsidP="00210DFA">
      <w:pPr>
        <w:pStyle w:val="Default"/>
        <w:numPr>
          <w:ilvl w:val="1"/>
          <w:numId w:val="11"/>
        </w:numPr>
        <w:spacing w:after="120"/>
        <w:jc w:val="both"/>
      </w:pPr>
      <w:r w:rsidRPr="007F3180">
        <w:t>Hindajad täidavad taotlus</w:t>
      </w:r>
      <w:r w:rsidR="0092054F" w:rsidRPr="007F3180">
        <w:t>t</w:t>
      </w:r>
      <w:r w:rsidRPr="007F3180">
        <w:t>e kohta hindamislehe. Taotluste hindamistulemuse saamiseks liidetakse kõigi hindajate taotlusele antud punktid ja arvutatakse hindajate arvuga jagades punktisumma keskmine (koondhinne)</w:t>
      </w:r>
      <w:r w:rsidR="00CA4E46" w:rsidRPr="007F3180">
        <w:t xml:space="preserve"> täpsusega kaks kohta pärast koma</w:t>
      </w:r>
      <w:r w:rsidRPr="007F3180">
        <w:t xml:space="preserve">. </w:t>
      </w:r>
      <w:r w:rsidR="00D72BF9" w:rsidRPr="007F3180">
        <w:t>Taotluse</w:t>
      </w:r>
      <w:r w:rsidRPr="007F3180">
        <w:t xml:space="preserve"> koondhindena on võimalik saada kuni 100 punkti.</w:t>
      </w:r>
    </w:p>
    <w:p w14:paraId="4C03F097" w14:textId="06039B5D" w:rsidR="00C80CDA" w:rsidRPr="007F3180" w:rsidRDefault="000C1C26" w:rsidP="00210DFA">
      <w:pPr>
        <w:pStyle w:val="Default"/>
        <w:numPr>
          <w:ilvl w:val="1"/>
          <w:numId w:val="11"/>
        </w:numPr>
        <w:spacing w:after="120"/>
        <w:jc w:val="both"/>
      </w:pPr>
      <w:r w:rsidRPr="007F3180">
        <w:t xml:space="preserve">Komisjon koostab </w:t>
      </w:r>
      <w:r w:rsidR="00954F7E" w:rsidRPr="007F3180">
        <w:t xml:space="preserve">taotlustest </w:t>
      </w:r>
      <w:r w:rsidRPr="007F3180">
        <w:t xml:space="preserve">pingerea, mille aluseks on sisulise hindamise läbinud taotluste koondhinded. </w:t>
      </w:r>
      <w:r w:rsidR="00E95E40" w:rsidRPr="007F3180">
        <w:t>Võrdse koondhindega taotlus</w:t>
      </w:r>
      <w:r w:rsidR="007108A8" w:rsidRPr="007F3180">
        <w:t>ed</w:t>
      </w:r>
      <w:r w:rsidR="00E95E40" w:rsidRPr="007F3180">
        <w:t xml:space="preserve"> järjestatakse </w:t>
      </w:r>
      <w:r w:rsidR="007108A8" w:rsidRPr="007F3180">
        <w:t xml:space="preserve">hindamiskriteeriumite </w:t>
      </w:r>
      <w:r w:rsidR="00A565E6" w:rsidRPr="007F3180">
        <w:t>1</w:t>
      </w:r>
      <w:r w:rsidR="007108A8" w:rsidRPr="007F3180">
        <w:t xml:space="preserve"> ja </w:t>
      </w:r>
      <w:r w:rsidR="00A565E6" w:rsidRPr="007F3180">
        <w:t>4</w:t>
      </w:r>
      <w:r w:rsidR="007108A8" w:rsidRPr="007F3180">
        <w:t xml:space="preserve"> ee</w:t>
      </w:r>
      <w:r w:rsidR="00E95E40" w:rsidRPr="007F3180">
        <w:t>st</w:t>
      </w:r>
      <w:r w:rsidR="00896D9A" w:rsidRPr="007F3180">
        <w:t xml:space="preserve"> kokku</w:t>
      </w:r>
      <w:r w:rsidR="00E95E40" w:rsidRPr="007F3180">
        <w:t xml:space="preserve"> saadud </w:t>
      </w:r>
      <w:r w:rsidR="004E4AD7" w:rsidRPr="007F3180">
        <w:t xml:space="preserve">kõrgema </w:t>
      </w:r>
      <w:r w:rsidR="00E95E40" w:rsidRPr="007F3180">
        <w:t>hin</w:t>
      </w:r>
      <w:r w:rsidR="00973D3B" w:rsidRPr="007F3180">
        <w:t>d</w:t>
      </w:r>
      <w:r w:rsidR="00CA4E46" w:rsidRPr="007F3180">
        <w:t>e</w:t>
      </w:r>
      <w:r w:rsidR="00E95E40" w:rsidRPr="007F3180">
        <w:t xml:space="preserve"> alusel.</w:t>
      </w:r>
      <w:r w:rsidR="004E4AD7" w:rsidRPr="007F3180">
        <w:t xml:space="preserve"> </w:t>
      </w:r>
      <w:r w:rsidR="00896D9A" w:rsidRPr="007F3180">
        <w:t>Kui ka nende kriteeriumite punktisumma on võrdne</w:t>
      </w:r>
      <w:r w:rsidR="004E4AD7" w:rsidRPr="007F3180">
        <w:t xml:space="preserve">, </w:t>
      </w:r>
      <w:r w:rsidR="00896D9A" w:rsidRPr="007F3180">
        <w:t>otsustab komisjon järjestuse konsensuslikult</w:t>
      </w:r>
      <w:r w:rsidR="005A49B3" w:rsidRPr="007F3180">
        <w:t>,</w:t>
      </w:r>
      <w:r w:rsidR="00896D9A" w:rsidRPr="007F3180">
        <w:t xml:space="preserve"> arvestades taotlusvooru eesmärki</w:t>
      </w:r>
      <w:r w:rsidR="004E4AD7" w:rsidRPr="007F3180">
        <w:t>.</w:t>
      </w:r>
    </w:p>
    <w:p w14:paraId="7522FAE9" w14:textId="514B7658" w:rsidR="00E02EA0" w:rsidRPr="007F3180" w:rsidRDefault="00604A87" w:rsidP="00604A87">
      <w:pPr>
        <w:pStyle w:val="Default"/>
        <w:numPr>
          <w:ilvl w:val="1"/>
          <w:numId w:val="11"/>
        </w:numPr>
        <w:spacing w:after="120"/>
        <w:ind w:left="851" w:hanging="491"/>
        <w:jc w:val="both"/>
        <w:rPr>
          <w:color w:val="auto"/>
        </w:rPr>
      </w:pPr>
      <w:r w:rsidRPr="007F3180">
        <w:rPr>
          <w:color w:val="auto"/>
        </w:rPr>
        <w:t xml:space="preserve"> </w:t>
      </w:r>
      <w:r w:rsidR="00ED245D" w:rsidRPr="007F3180">
        <w:rPr>
          <w:color w:val="auto"/>
        </w:rPr>
        <w:t xml:space="preserve">Komisjoni koosolekud protokollitakse. Protokoll koostatakse ja allkirjastatakse toetuste menetlemise </w:t>
      </w:r>
      <w:r w:rsidR="003157FF" w:rsidRPr="007F3180">
        <w:rPr>
          <w:color w:val="auto"/>
        </w:rPr>
        <w:t>infosüsteemi</w:t>
      </w:r>
      <w:r w:rsidR="00ED245D" w:rsidRPr="007F3180">
        <w:rPr>
          <w:color w:val="auto"/>
        </w:rPr>
        <w:t>s. Protokolli allkirjastavad kõik komisjoni liikmed.</w:t>
      </w:r>
    </w:p>
    <w:p w14:paraId="5A00AA30" w14:textId="6BA99CDA" w:rsidR="00E02EA0" w:rsidRPr="007F3180" w:rsidRDefault="00604A87" w:rsidP="00604A87">
      <w:pPr>
        <w:pStyle w:val="Default"/>
        <w:numPr>
          <w:ilvl w:val="1"/>
          <w:numId w:val="11"/>
        </w:numPr>
        <w:spacing w:after="120"/>
        <w:ind w:left="851" w:hanging="491"/>
        <w:jc w:val="both"/>
        <w:rPr>
          <w:color w:val="auto"/>
        </w:rPr>
      </w:pPr>
      <w:r w:rsidRPr="007F3180">
        <w:rPr>
          <w:color w:val="auto"/>
        </w:rPr>
        <w:t xml:space="preserve"> </w:t>
      </w:r>
      <w:r w:rsidR="00E02EA0" w:rsidRPr="007F3180">
        <w:rPr>
          <w:color w:val="auto"/>
        </w:rPr>
        <w:t xml:space="preserve">Koosoleku protokoll </w:t>
      </w:r>
      <w:r w:rsidR="000C1C26" w:rsidRPr="007F3180">
        <w:rPr>
          <w:color w:val="auto"/>
        </w:rPr>
        <w:t xml:space="preserve">ja selle lisad sisaldavad </w:t>
      </w:r>
      <w:r w:rsidR="00E02EA0" w:rsidRPr="007F3180">
        <w:rPr>
          <w:color w:val="auto"/>
        </w:rPr>
        <w:t>järgmis</w:t>
      </w:r>
      <w:r w:rsidR="000C1C26" w:rsidRPr="007F3180">
        <w:rPr>
          <w:color w:val="auto"/>
        </w:rPr>
        <w:t>i</w:t>
      </w:r>
      <w:r w:rsidR="00E02EA0" w:rsidRPr="007F3180">
        <w:rPr>
          <w:color w:val="auto"/>
        </w:rPr>
        <w:t xml:space="preserve"> andme</w:t>
      </w:r>
      <w:r w:rsidR="000C1C26" w:rsidRPr="007F3180">
        <w:rPr>
          <w:color w:val="auto"/>
        </w:rPr>
        <w:t>i</w:t>
      </w:r>
      <w:r w:rsidR="00E02EA0" w:rsidRPr="007F3180">
        <w:rPr>
          <w:color w:val="auto"/>
        </w:rPr>
        <w:t>d:</w:t>
      </w:r>
    </w:p>
    <w:p w14:paraId="668DE2DB" w14:textId="5574F017" w:rsidR="00E02EA0" w:rsidRPr="007F3180" w:rsidRDefault="00E02EA0" w:rsidP="00210DFA">
      <w:pPr>
        <w:pStyle w:val="Default"/>
        <w:numPr>
          <w:ilvl w:val="2"/>
          <w:numId w:val="11"/>
        </w:numPr>
        <w:spacing w:after="120"/>
        <w:jc w:val="both"/>
        <w:rPr>
          <w:color w:val="auto"/>
        </w:rPr>
      </w:pPr>
      <w:r w:rsidRPr="007F3180">
        <w:rPr>
          <w:color w:val="auto"/>
        </w:rPr>
        <w:t>koosoleku toimumise aeg ja koht;</w:t>
      </w:r>
    </w:p>
    <w:p w14:paraId="04DAB596" w14:textId="0001D20D" w:rsidR="00210DFA" w:rsidRPr="007F3180" w:rsidRDefault="00210DFA" w:rsidP="00210DFA">
      <w:pPr>
        <w:pStyle w:val="Default"/>
        <w:numPr>
          <w:ilvl w:val="2"/>
          <w:numId w:val="11"/>
        </w:numPr>
        <w:spacing w:after="120"/>
        <w:jc w:val="both"/>
        <w:rPr>
          <w:color w:val="auto"/>
        </w:rPr>
      </w:pPr>
      <w:r w:rsidRPr="007F3180">
        <w:rPr>
          <w:color w:val="auto"/>
        </w:rPr>
        <w:lastRenderedPageBreak/>
        <w:t>koosolekul osalenud isikute nimed ja allkirjad;</w:t>
      </w:r>
    </w:p>
    <w:p w14:paraId="25DE4B0B" w14:textId="08FC9A6A" w:rsidR="00210DFA" w:rsidRPr="007F3180" w:rsidRDefault="00210DFA" w:rsidP="00210DFA">
      <w:pPr>
        <w:pStyle w:val="Default"/>
        <w:numPr>
          <w:ilvl w:val="2"/>
          <w:numId w:val="11"/>
        </w:numPr>
        <w:spacing w:after="120"/>
        <w:jc w:val="both"/>
        <w:rPr>
          <w:color w:val="auto"/>
        </w:rPr>
      </w:pPr>
      <w:r w:rsidRPr="007F3180">
        <w:rPr>
          <w:color w:val="auto"/>
        </w:rPr>
        <w:t>komisjoni ettepanekud rahastamiseks koondhinnete alusel;</w:t>
      </w:r>
    </w:p>
    <w:p w14:paraId="24CDBF51" w14:textId="170EE0FA" w:rsidR="00210DFA" w:rsidRPr="007F3180" w:rsidRDefault="00210DFA" w:rsidP="00210DFA">
      <w:pPr>
        <w:pStyle w:val="Default"/>
        <w:numPr>
          <w:ilvl w:val="2"/>
          <w:numId w:val="11"/>
        </w:numPr>
        <w:spacing w:after="120"/>
        <w:jc w:val="both"/>
        <w:rPr>
          <w:color w:val="auto"/>
        </w:rPr>
      </w:pPr>
      <w:r w:rsidRPr="007F3180">
        <w:rPr>
          <w:color w:val="auto"/>
        </w:rPr>
        <w:t>eriarvamused nende olemasolul;</w:t>
      </w:r>
    </w:p>
    <w:p w14:paraId="23EEDF0B" w14:textId="2B6EA046" w:rsidR="00210DFA" w:rsidRPr="007F3180" w:rsidRDefault="00210DFA" w:rsidP="00210DFA">
      <w:pPr>
        <w:pStyle w:val="Default"/>
        <w:numPr>
          <w:ilvl w:val="2"/>
          <w:numId w:val="11"/>
        </w:numPr>
        <w:spacing w:after="120"/>
        <w:jc w:val="both"/>
        <w:rPr>
          <w:color w:val="auto"/>
        </w:rPr>
      </w:pPr>
      <w:r w:rsidRPr="007F3180">
        <w:rPr>
          <w:color w:val="auto"/>
        </w:rPr>
        <w:t>teave komisjoni liikmete erapooletuse ja sõltumatuse kohta ning seotuse olemasolul viide konkreetsele taotlejale ja taotlusele;</w:t>
      </w:r>
    </w:p>
    <w:p w14:paraId="6298BAE4" w14:textId="4DFE17DE" w:rsidR="00ED245D" w:rsidRPr="007F3180" w:rsidRDefault="00065C33" w:rsidP="00210DFA">
      <w:pPr>
        <w:pStyle w:val="Default"/>
        <w:numPr>
          <w:ilvl w:val="2"/>
          <w:numId w:val="11"/>
        </w:numPr>
        <w:spacing w:after="120"/>
        <w:jc w:val="both"/>
        <w:rPr>
          <w:color w:val="auto"/>
        </w:rPr>
      </w:pPr>
      <w:r w:rsidRPr="007F3180">
        <w:rPr>
          <w:color w:val="auto"/>
        </w:rPr>
        <w:t>koond</w:t>
      </w:r>
      <w:r w:rsidR="00210DFA" w:rsidRPr="007F3180">
        <w:rPr>
          <w:color w:val="auto"/>
        </w:rPr>
        <w:t>hinded ja põhjendused.</w:t>
      </w:r>
    </w:p>
    <w:p w14:paraId="0E243301" w14:textId="47C9C5EB" w:rsidR="00210DFA" w:rsidRPr="007F3180" w:rsidRDefault="00ED245D" w:rsidP="00604A87">
      <w:pPr>
        <w:pStyle w:val="Default"/>
        <w:numPr>
          <w:ilvl w:val="1"/>
          <w:numId w:val="11"/>
        </w:numPr>
        <w:spacing w:after="120"/>
        <w:ind w:left="851" w:hanging="491"/>
        <w:jc w:val="both"/>
        <w:rPr>
          <w:color w:val="auto"/>
        </w:rPr>
      </w:pPr>
      <w:r w:rsidRPr="007F3180">
        <w:t>Integratsiooni Sihtasutuse juhataja teeb taotluse rahuldamise, osalise rahuldamise</w:t>
      </w:r>
      <w:r w:rsidR="00E201B8" w:rsidRPr="007F3180">
        <w:t xml:space="preserve"> </w:t>
      </w:r>
      <w:r w:rsidRPr="007F3180">
        <w:t>või rahuldamata jätmise otsuse määruse alusel ja lähtudes komisjoni tehtud ettepanekutest.</w:t>
      </w:r>
    </w:p>
    <w:p w14:paraId="0E765EAA" w14:textId="0A4DE22D" w:rsidR="00E201B8" w:rsidRPr="007F3180" w:rsidRDefault="00E201B8" w:rsidP="00E201B8">
      <w:pPr>
        <w:pStyle w:val="Default"/>
        <w:numPr>
          <w:ilvl w:val="1"/>
          <w:numId w:val="11"/>
        </w:numPr>
        <w:spacing w:after="120"/>
        <w:ind w:left="851" w:hanging="491"/>
        <w:jc w:val="both"/>
        <w:rPr>
          <w:color w:val="auto"/>
        </w:rPr>
      </w:pPr>
      <w:r w:rsidRPr="007F3180">
        <w:t xml:space="preserve">Hindamiskomisjoni sekretär teavitab läbi toetuste </w:t>
      </w:r>
      <w:r w:rsidRPr="007F3180">
        <w:rPr>
          <w:color w:val="auto"/>
        </w:rPr>
        <w:t xml:space="preserve">menetlemise infosüsteemi </w:t>
      </w:r>
      <w:r w:rsidRPr="007F3180">
        <w:t>taotlusvooru kõiki taotlejaid hindamistulemustest ja taotluse rahuldamise, osalise rahuldamise või rahuldamata jätmise otsusest.</w:t>
      </w:r>
    </w:p>
    <w:p w14:paraId="6A2BECC4" w14:textId="615257CC" w:rsidR="001948C8" w:rsidRPr="007F3180" w:rsidRDefault="001948C8" w:rsidP="00210DFA">
      <w:pPr>
        <w:pStyle w:val="Default"/>
        <w:spacing w:after="120"/>
        <w:jc w:val="both"/>
      </w:pPr>
    </w:p>
    <w:p w14:paraId="3226F81E" w14:textId="0A1A233C" w:rsidR="001948C8" w:rsidRPr="007F3180" w:rsidRDefault="001948C8" w:rsidP="00210DFA">
      <w:pPr>
        <w:pStyle w:val="Default"/>
        <w:numPr>
          <w:ilvl w:val="0"/>
          <w:numId w:val="2"/>
        </w:numPr>
        <w:spacing w:after="120"/>
        <w:jc w:val="both"/>
      </w:pPr>
      <w:r w:rsidRPr="007F3180">
        <w:rPr>
          <w:b/>
          <w:bCs/>
        </w:rPr>
        <w:t>HINDAMISKRITEERIUMID JA NENDE KIRJELDUSED, SKAALAD, OSAKAALUD</w:t>
      </w:r>
    </w:p>
    <w:p w14:paraId="3B811285" w14:textId="70CC33E7" w:rsidR="004B7E62" w:rsidRPr="007F3180" w:rsidRDefault="004B7E62" w:rsidP="004B7E62">
      <w:pPr>
        <w:pStyle w:val="Lihttekst"/>
        <w:spacing w:after="120"/>
        <w:jc w:val="both"/>
        <w:rPr>
          <w:rFonts w:ascii="Times New Roman" w:hAnsi="Times New Roman" w:cs="Times New Roman"/>
          <w:sz w:val="24"/>
          <w:szCs w:val="24"/>
        </w:rPr>
      </w:pPr>
      <w:bookmarkStart w:id="1" w:name="_Hlk143174279"/>
      <w:r w:rsidRPr="007F3180">
        <w:rPr>
          <w:rFonts w:ascii="Times New Roman" w:hAnsi="Times New Roman" w:cs="Times New Roman"/>
          <w:sz w:val="24"/>
          <w:szCs w:val="24"/>
        </w:rPr>
        <w:t xml:space="preserve">Hindamiskriteeriumid ja osakaalud on lähtudes </w:t>
      </w:r>
      <w:r w:rsidR="00AD2633" w:rsidRPr="007F3180">
        <w:rPr>
          <w:rFonts w:ascii="Times New Roman" w:hAnsi="Times New Roman" w:cs="Times New Roman"/>
          <w:sz w:val="24"/>
          <w:szCs w:val="24"/>
        </w:rPr>
        <w:t xml:space="preserve">määruse </w:t>
      </w:r>
      <w:r w:rsidRPr="007F3180">
        <w:rPr>
          <w:rFonts w:ascii="Times New Roman" w:hAnsi="Times New Roman" w:cs="Times New Roman"/>
          <w:sz w:val="24"/>
          <w:szCs w:val="24"/>
        </w:rPr>
        <w:t>§ 1</w:t>
      </w:r>
      <w:r w:rsidR="00A565E6" w:rsidRPr="007F3180">
        <w:rPr>
          <w:rFonts w:ascii="Times New Roman" w:hAnsi="Times New Roman" w:cs="Times New Roman"/>
          <w:sz w:val="24"/>
          <w:szCs w:val="24"/>
        </w:rPr>
        <w:t>1</w:t>
      </w:r>
      <w:r w:rsidRPr="007F3180">
        <w:rPr>
          <w:rFonts w:ascii="Times New Roman" w:hAnsi="Times New Roman" w:cs="Times New Roman"/>
          <w:sz w:val="24"/>
          <w:szCs w:val="24"/>
        </w:rPr>
        <w:t xml:space="preserve"> lõikest 2 järgmised:</w:t>
      </w:r>
    </w:p>
    <w:p w14:paraId="7C65190E" w14:textId="5EBA0640" w:rsidR="00A35C0A" w:rsidRPr="007F3180" w:rsidRDefault="00A35C0A" w:rsidP="00A35C0A">
      <w:pPr>
        <w:pStyle w:val="Lihttekst"/>
        <w:spacing w:after="120"/>
        <w:jc w:val="both"/>
        <w:rPr>
          <w:rFonts w:ascii="Times New Roman" w:hAnsi="Times New Roman" w:cs="Times New Roman"/>
          <w:color w:val="202020"/>
          <w:sz w:val="24"/>
          <w:szCs w:val="24"/>
          <w:shd w:val="clear" w:color="auto" w:fill="FFFFFF"/>
        </w:rPr>
      </w:pPr>
      <w:r w:rsidRPr="007F3180">
        <w:rPr>
          <w:rFonts w:ascii="Times New Roman" w:hAnsi="Times New Roman" w:cs="Times New Roman"/>
          <w:color w:val="202020"/>
          <w:sz w:val="24"/>
          <w:szCs w:val="24"/>
          <w:shd w:val="clear" w:color="auto" w:fill="FFFFFF"/>
        </w:rPr>
        <w:t xml:space="preserve">1) projekti põhjendatus – </w:t>
      </w:r>
      <w:r w:rsidR="00C12232" w:rsidRPr="007F3180">
        <w:rPr>
          <w:rFonts w:ascii="Times New Roman" w:hAnsi="Times New Roman" w:cs="Times New Roman"/>
          <w:color w:val="202020"/>
          <w:sz w:val="24"/>
          <w:szCs w:val="24"/>
          <w:shd w:val="clear" w:color="auto" w:fill="FFFFFF"/>
        </w:rPr>
        <w:t>2</w:t>
      </w:r>
      <w:r w:rsidRPr="007F3180">
        <w:rPr>
          <w:rFonts w:ascii="Times New Roman" w:hAnsi="Times New Roman" w:cs="Times New Roman"/>
          <w:color w:val="202020"/>
          <w:sz w:val="24"/>
          <w:szCs w:val="24"/>
          <w:shd w:val="clear" w:color="auto" w:fill="FFFFFF"/>
        </w:rPr>
        <w:t>0% maksimaalsest koondhindest;</w:t>
      </w:r>
    </w:p>
    <w:p w14:paraId="225C276D" w14:textId="218EBAD1" w:rsidR="00A35C0A" w:rsidRPr="007F3180" w:rsidRDefault="00A35C0A" w:rsidP="00A35C0A">
      <w:pPr>
        <w:pStyle w:val="Lihttekst"/>
        <w:spacing w:after="120"/>
        <w:jc w:val="both"/>
        <w:rPr>
          <w:rFonts w:ascii="Times New Roman" w:hAnsi="Times New Roman" w:cs="Times New Roman"/>
          <w:color w:val="202020"/>
          <w:sz w:val="24"/>
          <w:szCs w:val="24"/>
          <w:shd w:val="clear" w:color="auto" w:fill="FFFFFF"/>
        </w:rPr>
      </w:pPr>
      <w:r w:rsidRPr="007F3180">
        <w:rPr>
          <w:rFonts w:ascii="Times New Roman" w:hAnsi="Times New Roman" w:cs="Times New Roman"/>
          <w:color w:val="202020"/>
          <w:sz w:val="24"/>
          <w:szCs w:val="24"/>
          <w:shd w:val="clear" w:color="auto" w:fill="FFFFFF"/>
        </w:rPr>
        <w:t>2) projekti tegevusi kajastavate teavitustegevuste olemasolu ja läbimõeldus – 10% maksimaalsest koondhindest;</w:t>
      </w:r>
    </w:p>
    <w:p w14:paraId="62D20F25" w14:textId="7BA1972C" w:rsidR="00A35C0A" w:rsidRPr="007F3180" w:rsidRDefault="00A35C0A" w:rsidP="00A35C0A">
      <w:pPr>
        <w:pStyle w:val="Lihttekst"/>
        <w:spacing w:after="120"/>
        <w:jc w:val="both"/>
        <w:rPr>
          <w:rFonts w:ascii="Times New Roman" w:hAnsi="Times New Roman" w:cs="Times New Roman"/>
          <w:color w:val="202020"/>
          <w:sz w:val="24"/>
          <w:szCs w:val="24"/>
          <w:shd w:val="clear" w:color="auto" w:fill="FFFFFF"/>
        </w:rPr>
      </w:pPr>
      <w:r w:rsidRPr="007F3180">
        <w:rPr>
          <w:rFonts w:ascii="Times New Roman" w:hAnsi="Times New Roman" w:cs="Times New Roman"/>
          <w:color w:val="202020"/>
          <w:sz w:val="24"/>
          <w:szCs w:val="24"/>
          <w:shd w:val="clear" w:color="auto" w:fill="FFFFFF"/>
        </w:rPr>
        <w:t xml:space="preserve">3) </w:t>
      </w:r>
      <w:r w:rsidR="00C12232" w:rsidRPr="007F3180">
        <w:rPr>
          <w:rFonts w:ascii="Times New Roman" w:hAnsi="Times New Roman" w:cs="Times New Roman"/>
          <w:sz w:val="24"/>
          <w:szCs w:val="24"/>
        </w:rPr>
        <w:t>projekti kavandatud kulutuste põhjendatus, selgus ja kulutõhusus</w:t>
      </w:r>
      <w:r w:rsidRPr="007F3180">
        <w:rPr>
          <w:rFonts w:ascii="Times New Roman" w:hAnsi="Times New Roman" w:cs="Times New Roman"/>
          <w:color w:val="202020"/>
          <w:sz w:val="24"/>
          <w:szCs w:val="24"/>
          <w:shd w:val="clear" w:color="auto" w:fill="FFFFFF"/>
        </w:rPr>
        <w:t xml:space="preserve"> – 20% maksimaalsest koondhindest;</w:t>
      </w:r>
    </w:p>
    <w:p w14:paraId="0DDB393F" w14:textId="01317C7B" w:rsidR="00A35C0A" w:rsidRPr="007F3180" w:rsidRDefault="00A35C0A" w:rsidP="00A35C0A">
      <w:pPr>
        <w:pStyle w:val="Lihttekst"/>
        <w:spacing w:after="120"/>
        <w:jc w:val="both"/>
        <w:rPr>
          <w:rFonts w:ascii="Times New Roman" w:hAnsi="Times New Roman" w:cs="Times New Roman"/>
          <w:color w:val="202020"/>
          <w:sz w:val="24"/>
          <w:szCs w:val="24"/>
          <w:shd w:val="clear" w:color="auto" w:fill="FFFFFF"/>
        </w:rPr>
      </w:pPr>
      <w:r w:rsidRPr="007F3180">
        <w:rPr>
          <w:rFonts w:ascii="Times New Roman" w:hAnsi="Times New Roman" w:cs="Times New Roman"/>
          <w:color w:val="202020"/>
          <w:sz w:val="24"/>
          <w:szCs w:val="24"/>
          <w:shd w:val="clear" w:color="auto" w:fill="FFFFFF"/>
        </w:rPr>
        <w:t xml:space="preserve">4) </w:t>
      </w:r>
      <w:r w:rsidR="00C12232" w:rsidRPr="007F3180">
        <w:rPr>
          <w:rFonts w:ascii="Times New Roman" w:hAnsi="Times New Roman" w:cs="Times New Roman"/>
          <w:sz w:val="24"/>
          <w:szCs w:val="24"/>
        </w:rPr>
        <w:t>projekti elluviimise abil saavutatav mõju ettevõtlusele ja piirkonna atraktiivsuse suurendamisele</w:t>
      </w:r>
      <w:r w:rsidRPr="007F3180">
        <w:rPr>
          <w:rFonts w:ascii="Times New Roman" w:hAnsi="Times New Roman" w:cs="Times New Roman"/>
          <w:color w:val="202020"/>
          <w:sz w:val="24"/>
          <w:szCs w:val="24"/>
          <w:shd w:val="clear" w:color="auto" w:fill="FFFFFF"/>
        </w:rPr>
        <w:t xml:space="preserve"> – 30% maksimaalsest koondhindest;</w:t>
      </w:r>
    </w:p>
    <w:p w14:paraId="0AB68099" w14:textId="3F13817D" w:rsidR="004B7E62" w:rsidRPr="007F3180" w:rsidRDefault="00A35C0A" w:rsidP="00A35C0A">
      <w:pPr>
        <w:pStyle w:val="Lihttekst"/>
        <w:spacing w:after="120"/>
        <w:jc w:val="both"/>
        <w:rPr>
          <w:rFonts w:ascii="Times New Roman" w:hAnsi="Times New Roman" w:cs="Times New Roman"/>
          <w:sz w:val="24"/>
          <w:szCs w:val="24"/>
        </w:rPr>
      </w:pPr>
      <w:r w:rsidRPr="007F3180">
        <w:rPr>
          <w:rFonts w:ascii="Times New Roman" w:hAnsi="Times New Roman" w:cs="Times New Roman"/>
          <w:color w:val="202020"/>
          <w:sz w:val="24"/>
          <w:szCs w:val="24"/>
          <w:shd w:val="clear" w:color="auto" w:fill="FFFFFF"/>
        </w:rPr>
        <w:t xml:space="preserve">5) </w:t>
      </w:r>
      <w:r w:rsidR="00C12232" w:rsidRPr="007F3180">
        <w:rPr>
          <w:rFonts w:ascii="Times New Roman" w:hAnsi="Times New Roman" w:cs="Times New Roman"/>
          <w:sz w:val="24"/>
          <w:szCs w:val="24"/>
        </w:rPr>
        <w:t>projekti elluviimise abil saavutatav kogukondlik mõju</w:t>
      </w:r>
      <w:r w:rsidRPr="007F3180">
        <w:rPr>
          <w:rFonts w:ascii="Times New Roman" w:hAnsi="Times New Roman" w:cs="Times New Roman"/>
          <w:color w:val="202020"/>
          <w:sz w:val="24"/>
          <w:szCs w:val="24"/>
          <w:shd w:val="clear" w:color="auto" w:fill="FFFFFF"/>
        </w:rPr>
        <w:t xml:space="preserve"> –</w:t>
      </w:r>
      <w:r w:rsidR="00CF2900" w:rsidRPr="007F3180">
        <w:rPr>
          <w:rFonts w:ascii="Times New Roman" w:hAnsi="Times New Roman" w:cs="Times New Roman"/>
          <w:color w:val="202020"/>
          <w:sz w:val="24"/>
          <w:szCs w:val="24"/>
          <w:shd w:val="clear" w:color="auto" w:fill="FFFFFF"/>
        </w:rPr>
        <w:t xml:space="preserve"> </w:t>
      </w:r>
      <w:r w:rsidR="00A565E6" w:rsidRPr="007F3180">
        <w:rPr>
          <w:rFonts w:ascii="Times New Roman" w:hAnsi="Times New Roman" w:cs="Times New Roman"/>
          <w:color w:val="202020"/>
          <w:sz w:val="24"/>
          <w:szCs w:val="24"/>
          <w:shd w:val="clear" w:color="auto" w:fill="FFFFFF"/>
        </w:rPr>
        <w:t>2</w:t>
      </w:r>
      <w:r w:rsidRPr="007F3180">
        <w:rPr>
          <w:rFonts w:ascii="Times New Roman" w:hAnsi="Times New Roman" w:cs="Times New Roman"/>
          <w:color w:val="202020"/>
          <w:sz w:val="24"/>
          <w:szCs w:val="24"/>
          <w:shd w:val="clear" w:color="auto" w:fill="FFFFFF"/>
        </w:rPr>
        <w:t>0% maksimaalsest koondhindest</w:t>
      </w:r>
      <w:r w:rsidR="004B7E62" w:rsidRPr="007F3180">
        <w:rPr>
          <w:rFonts w:ascii="Times New Roman" w:hAnsi="Times New Roman" w:cs="Times New Roman"/>
          <w:sz w:val="24"/>
          <w:szCs w:val="24"/>
        </w:rPr>
        <w:t>.</w:t>
      </w:r>
    </w:p>
    <w:tbl>
      <w:tblPr>
        <w:tblStyle w:val="Kontuurtabel"/>
        <w:tblW w:w="10491" w:type="dxa"/>
        <w:tblInd w:w="-431" w:type="dxa"/>
        <w:tblLook w:val="04A0" w:firstRow="1" w:lastRow="0" w:firstColumn="1" w:lastColumn="0" w:noHBand="0" w:noVBand="1"/>
      </w:tblPr>
      <w:tblGrid>
        <w:gridCol w:w="10491"/>
      </w:tblGrid>
      <w:tr w:rsidR="004B7E62" w:rsidRPr="007F3180" w14:paraId="65E6673D" w14:textId="77777777" w:rsidTr="0024342D">
        <w:tc>
          <w:tcPr>
            <w:tcW w:w="10491" w:type="dxa"/>
          </w:tcPr>
          <w:bookmarkEnd w:id="1"/>
          <w:p w14:paraId="16701BC7" w14:textId="0A68D1A0" w:rsidR="004B7E62" w:rsidRPr="007F3180" w:rsidRDefault="00A35C0A" w:rsidP="004B7E62">
            <w:pPr>
              <w:pStyle w:val="Loendilik"/>
              <w:numPr>
                <w:ilvl w:val="0"/>
                <w:numId w:val="3"/>
              </w:numPr>
              <w:autoSpaceDN w:val="0"/>
              <w:spacing w:after="120"/>
              <w:ind w:left="360"/>
              <w:contextualSpacing w:val="0"/>
              <w:jc w:val="both"/>
              <w:rPr>
                <w:rFonts w:ascii="Times New Roman" w:hAnsi="Times New Roman" w:cs="Times New Roman"/>
                <w:b/>
                <w:bCs/>
                <w:sz w:val="24"/>
                <w:szCs w:val="24"/>
              </w:rPr>
            </w:pPr>
            <w:r w:rsidRPr="007F3180">
              <w:rPr>
                <w:rFonts w:ascii="Times New Roman" w:hAnsi="Times New Roman" w:cs="Times New Roman"/>
                <w:b/>
                <w:bCs/>
                <w:color w:val="202020"/>
                <w:sz w:val="24"/>
                <w:szCs w:val="24"/>
                <w:shd w:val="clear" w:color="auto" w:fill="FFFFFF"/>
              </w:rPr>
              <w:t xml:space="preserve">Projekti põhjendatus – </w:t>
            </w:r>
            <w:r w:rsidR="007837D1" w:rsidRPr="007F3180">
              <w:rPr>
                <w:rFonts w:ascii="Times New Roman" w:hAnsi="Times New Roman" w:cs="Times New Roman"/>
                <w:b/>
                <w:bCs/>
                <w:color w:val="202020"/>
                <w:sz w:val="24"/>
                <w:szCs w:val="24"/>
                <w:shd w:val="clear" w:color="auto" w:fill="FFFFFF"/>
              </w:rPr>
              <w:t>2</w:t>
            </w:r>
            <w:r w:rsidR="004B7E62" w:rsidRPr="007F3180">
              <w:rPr>
                <w:rFonts w:ascii="Times New Roman" w:hAnsi="Times New Roman" w:cs="Times New Roman"/>
                <w:b/>
                <w:bCs/>
                <w:color w:val="202020"/>
                <w:sz w:val="24"/>
                <w:szCs w:val="24"/>
                <w:shd w:val="clear" w:color="auto" w:fill="FFFFFF"/>
              </w:rPr>
              <w:t>0% maksimaalsest koondhindest</w:t>
            </w:r>
          </w:p>
        </w:tc>
      </w:tr>
      <w:tr w:rsidR="00A35C0A" w:rsidRPr="007F3180" w14:paraId="0C25F921" w14:textId="77777777" w:rsidTr="0024342D">
        <w:tc>
          <w:tcPr>
            <w:tcW w:w="10491" w:type="dxa"/>
          </w:tcPr>
          <w:p w14:paraId="0BA979A2" w14:textId="4BD12772" w:rsidR="009D3DA8" w:rsidRPr="007F3180" w:rsidRDefault="00827838" w:rsidP="006E6FCF">
            <w:pPr>
              <w:pStyle w:val="Loendilik"/>
              <w:autoSpaceDN w:val="0"/>
              <w:spacing w:after="120"/>
              <w:ind w:left="0"/>
              <w:contextualSpacing w:val="0"/>
              <w:jc w:val="both"/>
              <w:rPr>
                <w:rFonts w:ascii="Times New Roman" w:hAnsi="Times New Roman" w:cs="Times New Roman"/>
                <w:sz w:val="24"/>
                <w:szCs w:val="24"/>
              </w:rPr>
            </w:pPr>
            <w:r w:rsidRPr="007F3180">
              <w:rPr>
                <w:rFonts w:ascii="Times New Roman" w:hAnsi="Times New Roman" w:cs="Times New Roman"/>
                <w:sz w:val="24"/>
                <w:szCs w:val="24"/>
              </w:rPr>
              <w:t>Hinnatakse, kas projekti tegevuste ajakava ja tegevused on loogilised, kas kõik planeeritud tegevused aitavad kaasa projektis kirjeldatud eesmärkide ja tulemuste saavutamisele, kas</w:t>
            </w:r>
            <w:r w:rsidR="009D3DA8" w:rsidRPr="007F3180">
              <w:rPr>
                <w:rFonts w:ascii="Times New Roman" w:hAnsi="Times New Roman" w:cs="Times New Roman"/>
                <w:color w:val="202020"/>
                <w:sz w:val="24"/>
                <w:szCs w:val="24"/>
                <w:shd w:val="clear" w:color="auto" w:fill="FFFFFF"/>
              </w:rPr>
              <w:t xml:space="preserve"> sihtrühm(</w:t>
            </w:r>
            <w:proofErr w:type="spellStart"/>
            <w:r w:rsidR="009D3DA8" w:rsidRPr="007F3180">
              <w:rPr>
                <w:rFonts w:ascii="Times New Roman" w:hAnsi="Times New Roman" w:cs="Times New Roman"/>
                <w:color w:val="202020"/>
                <w:sz w:val="24"/>
                <w:szCs w:val="24"/>
                <w:shd w:val="clear" w:color="auto" w:fill="FFFFFF"/>
              </w:rPr>
              <w:t>ad</w:t>
            </w:r>
            <w:proofErr w:type="spellEnd"/>
            <w:r w:rsidR="009D3DA8" w:rsidRPr="007F3180">
              <w:rPr>
                <w:rFonts w:ascii="Times New Roman" w:hAnsi="Times New Roman" w:cs="Times New Roman"/>
                <w:color w:val="202020"/>
                <w:sz w:val="24"/>
                <w:szCs w:val="24"/>
                <w:shd w:val="clear" w:color="auto" w:fill="FFFFFF"/>
              </w:rPr>
              <w:t>) on välja toodud ja</w:t>
            </w:r>
            <w:r w:rsidR="009D3DA8" w:rsidRPr="007F3180">
              <w:rPr>
                <w:rFonts w:ascii="Times New Roman" w:hAnsi="Times New Roman" w:cs="Times New Roman"/>
                <w:sz w:val="24"/>
                <w:szCs w:val="24"/>
              </w:rPr>
              <w:t xml:space="preserve"> </w:t>
            </w:r>
            <w:r w:rsidRPr="007F3180">
              <w:rPr>
                <w:rFonts w:ascii="Times New Roman" w:hAnsi="Times New Roman" w:cs="Times New Roman"/>
                <w:sz w:val="24"/>
                <w:szCs w:val="24"/>
              </w:rPr>
              <w:t>vajadus toetuseks on põhjendatud.</w:t>
            </w:r>
          </w:p>
          <w:p w14:paraId="6B754005" w14:textId="7B544F90" w:rsidR="00827838" w:rsidRPr="007F3180" w:rsidRDefault="00827838" w:rsidP="006E6FCF">
            <w:pPr>
              <w:pStyle w:val="Loendilik"/>
              <w:autoSpaceDN w:val="0"/>
              <w:spacing w:after="120"/>
              <w:ind w:left="0"/>
              <w:contextualSpacing w:val="0"/>
              <w:jc w:val="both"/>
              <w:rPr>
                <w:rFonts w:ascii="Times New Roman" w:hAnsi="Times New Roman" w:cs="Times New Roman"/>
                <w:color w:val="202020"/>
                <w:sz w:val="24"/>
                <w:szCs w:val="24"/>
                <w:shd w:val="clear" w:color="auto" w:fill="FFFFFF"/>
              </w:rPr>
            </w:pPr>
            <w:r w:rsidRPr="007F3180">
              <w:rPr>
                <w:rFonts w:ascii="Times New Roman" w:hAnsi="Times New Roman" w:cs="Times New Roman"/>
                <w:sz w:val="24"/>
                <w:szCs w:val="24"/>
              </w:rPr>
              <w:t xml:space="preserve">Hindamisel arvestatakse </w:t>
            </w:r>
            <w:r w:rsidR="009D3DA8" w:rsidRPr="007F3180">
              <w:rPr>
                <w:rFonts w:ascii="Times New Roman" w:hAnsi="Times New Roman" w:cs="Times New Roman"/>
                <w:sz w:val="24"/>
                <w:szCs w:val="24"/>
              </w:rPr>
              <w:t>üritus(t)e</w:t>
            </w:r>
            <w:r w:rsidRPr="007F3180">
              <w:rPr>
                <w:rFonts w:ascii="Times New Roman" w:hAnsi="Times New Roman" w:cs="Times New Roman"/>
                <w:sz w:val="24"/>
                <w:szCs w:val="24"/>
              </w:rPr>
              <w:t xml:space="preserve"> programmi terviklikkust ning vastavust sihtrühmade huvidele ja ootustele. Hinnatakse, kas projekt arvestab ka teiste kohalike kultuuri- ja/või sporditegevustega piirkonnas (et vältida ürituste kuhjumist ühele ajale).</w:t>
            </w:r>
          </w:p>
        </w:tc>
      </w:tr>
      <w:tr w:rsidR="004B7E62" w:rsidRPr="007F3180" w14:paraId="64490F90" w14:textId="77777777" w:rsidTr="0024342D">
        <w:trPr>
          <w:trHeight w:val="1436"/>
        </w:trPr>
        <w:tc>
          <w:tcPr>
            <w:tcW w:w="10491" w:type="dxa"/>
          </w:tcPr>
          <w:p w14:paraId="53136B5C" w14:textId="77777777" w:rsidR="004B7E62" w:rsidRPr="007F3180" w:rsidRDefault="004B7E62" w:rsidP="00280851">
            <w:pPr>
              <w:pStyle w:val="Default"/>
              <w:jc w:val="both"/>
              <w:rPr>
                <w:b/>
                <w:bCs/>
                <w:color w:val="auto"/>
              </w:rPr>
            </w:pPr>
            <w:r w:rsidRPr="007F3180">
              <w:rPr>
                <w:b/>
                <w:bCs/>
                <w:color w:val="auto"/>
              </w:rPr>
              <w:t>Hinnete kirjeldus:</w:t>
            </w:r>
          </w:p>
          <w:p w14:paraId="65B4D71A" w14:textId="77777777" w:rsidR="007837D1" w:rsidRPr="007F3180" w:rsidRDefault="007837D1" w:rsidP="007837D1">
            <w:pPr>
              <w:pStyle w:val="Default"/>
              <w:jc w:val="both"/>
              <w:rPr>
                <w:color w:val="auto"/>
              </w:rPr>
            </w:pPr>
            <w:r w:rsidRPr="007F3180">
              <w:rPr>
                <w:color w:val="auto"/>
              </w:rPr>
              <w:t>20 – väga hea</w:t>
            </w:r>
          </w:p>
          <w:p w14:paraId="65ACFA80" w14:textId="77777777" w:rsidR="007837D1" w:rsidRPr="007F3180" w:rsidRDefault="007837D1" w:rsidP="007837D1">
            <w:pPr>
              <w:pStyle w:val="Default"/>
              <w:jc w:val="both"/>
              <w:rPr>
                <w:color w:val="auto"/>
              </w:rPr>
            </w:pPr>
            <w:r w:rsidRPr="007F3180">
              <w:rPr>
                <w:color w:val="auto"/>
              </w:rPr>
              <w:t>15 – hea</w:t>
            </w:r>
          </w:p>
          <w:p w14:paraId="3812FC95" w14:textId="77777777" w:rsidR="007837D1" w:rsidRPr="007F3180" w:rsidRDefault="007837D1" w:rsidP="007837D1">
            <w:pPr>
              <w:pStyle w:val="Default"/>
              <w:jc w:val="both"/>
              <w:rPr>
                <w:color w:val="auto"/>
              </w:rPr>
            </w:pPr>
            <w:r w:rsidRPr="007F3180">
              <w:rPr>
                <w:color w:val="auto"/>
              </w:rPr>
              <w:t>10 – rahuldav</w:t>
            </w:r>
          </w:p>
          <w:p w14:paraId="4B70B22D" w14:textId="77777777" w:rsidR="007837D1" w:rsidRPr="007F3180" w:rsidRDefault="007837D1" w:rsidP="007837D1">
            <w:pPr>
              <w:pStyle w:val="Default"/>
              <w:jc w:val="both"/>
              <w:rPr>
                <w:color w:val="auto"/>
              </w:rPr>
            </w:pPr>
            <w:r w:rsidRPr="007F3180">
              <w:rPr>
                <w:color w:val="auto"/>
              </w:rPr>
              <w:t xml:space="preserve">  5 – nõrk</w:t>
            </w:r>
          </w:p>
          <w:p w14:paraId="5155D13E" w14:textId="3D703E37" w:rsidR="004B7E62" w:rsidRPr="007F3180" w:rsidRDefault="007837D1" w:rsidP="007837D1">
            <w:pPr>
              <w:pStyle w:val="Default"/>
              <w:jc w:val="both"/>
            </w:pPr>
            <w:r w:rsidRPr="007F3180">
              <w:rPr>
                <w:color w:val="auto"/>
              </w:rPr>
              <w:t xml:space="preserve">  0 – puudub</w:t>
            </w:r>
          </w:p>
        </w:tc>
      </w:tr>
      <w:tr w:rsidR="004B7E62" w:rsidRPr="007F3180" w14:paraId="73CDEA84" w14:textId="77777777" w:rsidTr="0024342D">
        <w:tc>
          <w:tcPr>
            <w:tcW w:w="10491" w:type="dxa"/>
          </w:tcPr>
          <w:p w14:paraId="61E6F18F" w14:textId="3FF2F7B1" w:rsidR="004B7E62" w:rsidRPr="007F3180" w:rsidRDefault="00A35C0A" w:rsidP="004B7E62">
            <w:pPr>
              <w:pStyle w:val="Loendilik"/>
              <w:numPr>
                <w:ilvl w:val="0"/>
                <w:numId w:val="3"/>
              </w:numPr>
              <w:autoSpaceDN w:val="0"/>
              <w:spacing w:after="120"/>
              <w:ind w:left="360"/>
              <w:contextualSpacing w:val="0"/>
              <w:jc w:val="both"/>
              <w:rPr>
                <w:rFonts w:ascii="Times New Roman" w:hAnsi="Times New Roman" w:cs="Times New Roman"/>
                <w:b/>
                <w:bCs/>
                <w:sz w:val="24"/>
                <w:szCs w:val="24"/>
              </w:rPr>
            </w:pPr>
            <w:r w:rsidRPr="007F3180">
              <w:rPr>
                <w:rFonts w:ascii="Times New Roman" w:hAnsi="Times New Roman" w:cs="Times New Roman"/>
                <w:b/>
                <w:bCs/>
                <w:sz w:val="24"/>
                <w:szCs w:val="24"/>
              </w:rPr>
              <w:t>Projekti tegevusi kajastavate teavitustegevuste olemasolu ja läbimõeldus – 1</w:t>
            </w:r>
            <w:r w:rsidR="004B7E62" w:rsidRPr="007F3180">
              <w:rPr>
                <w:rFonts w:ascii="Times New Roman" w:hAnsi="Times New Roman" w:cs="Times New Roman"/>
                <w:b/>
                <w:bCs/>
                <w:color w:val="202020"/>
                <w:sz w:val="24"/>
                <w:szCs w:val="24"/>
                <w:shd w:val="clear" w:color="auto" w:fill="FFFFFF"/>
              </w:rPr>
              <w:t xml:space="preserve">0% </w:t>
            </w:r>
            <w:r w:rsidR="004B7E62" w:rsidRPr="007F3180">
              <w:rPr>
                <w:rFonts w:ascii="Times New Roman" w:hAnsi="Times New Roman" w:cs="Times New Roman"/>
                <w:b/>
                <w:bCs/>
                <w:sz w:val="24"/>
                <w:szCs w:val="24"/>
              </w:rPr>
              <w:t>maksimaalsest koondhindest</w:t>
            </w:r>
          </w:p>
        </w:tc>
      </w:tr>
      <w:tr w:rsidR="00A35C0A" w:rsidRPr="007F3180" w14:paraId="1A77850F" w14:textId="77777777" w:rsidTr="0024342D">
        <w:tc>
          <w:tcPr>
            <w:tcW w:w="10491" w:type="dxa"/>
          </w:tcPr>
          <w:p w14:paraId="56C68F62" w14:textId="58E1B840" w:rsidR="00827838" w:rsidRPr="007F3180" w:rsidRDefault="00827838" w:rsidP="006E6FCF">
            <w:pPr>
              <w:pStyle w:val="Loendilik"/>
              <w:autoSpaceDN w:val="0"/>
              <w:spacing w:after="120"/>
              <w:ind w:left="0"/>
              <w:contextualSpacing w:val="0"/>
              <w:jc w:val="both"/>
              <w:rPr>
                <w:rFonts w:ascii="Times New Roman" w:hAnsi="Times New Roman" w:cs="Times New Roman"/>
                <w:sz w:val="24"/>
                <w:szCs w:val="24"/>
              </w:rPr>
            </w:pPr>
            <w:r w:rsidRPr="007F3180">
              <w:rPr>
                <w:rFonts w:ascii="Times New Roman" w:hAnsi="Times New Roman" w:cs="Times New Roman"/>
                <w:sz w:val="24"/>
                <w:szCs w:val="24"/>
              </w:rPr>
              <w:t>Hindamisel arvestatakse, kas meediakajastus ja üritus</w:t>
            </w:r>
            <w:r w:rsidR="009D3DA8" w:rsidRPr="007F3180">
              <w:rPr>
                <w:rFonts w:ascii="Times New Roman" w:hAnsi="Times New Roman" w:cs="Times New Roman"/>
                <w:sz w:val="24"/>
                <w:szCs w:val="24"/>
              </w:rPr>
              <w:t>(t)</w:t>
            </w:r>
            <w:r w:rsidRPr="007F3180">
              <w:rPr>
                <w:rFonts w:ascii="Times New Roman" w:hAnsi="Times New Roman" w:cs="Times New Roman"/>
                <w:sz w:val="24"/>
                <w:szCs w:val="24"/>
              </w:rPr>
              <w:t xml:space="preserve">e ettevalmistus on hästi läbi mõeldud ning kuidas on läbi mõeldud sündmuse </w:t>
            </w:r>
            <w:proofErr w:type="spellStart"/>
            <w:r w:rsidRPr="007F3180">
              <w:rPr>
                <w:rFonts w:ascii="Times New Roman" w:hAnsi="Times New Roman" w:cs="Times New Roman"/>
                <w:sz w:val="24"/>
                <w:szCs w:val="24"/>
              </w:rPr>
              <w:t>turundamine</w:t>
            </w:r>
            <w:proofErr w:type="spellEnd"/>
            <w:r w:rsidRPr="007F3180">
              <w:rPr>
                <w:rFonts w:ascii="Times New Roman" w:hAnsi="Times New Roman" w:cs="Times New Roman"/>
                <w:sz w:val="24"/>
                <w:szCs w:val="24"/>
              </w:rPr>
              <w:t xml:space="preserve"> </w:t>
            </w:r>
            <w:r w:rsidR="009D3DA8" w:rsidRPr="007F3180">
              <w:rPr>
                <w:rFonts w:ascii="Times New Roman" w:hAnsi="Times New Roman" w:cs="Times New Roman"/>
                <w:sz w:val="24"/>
                <w:szCs w:val="24"/>
              </w:rPr>
              <w:t>– info jõudmine valitud sihtgrupini</w:t>
            </w:r>
            <w:r w:rsidRPr="007F3180">
              <w:rPr>
                <w:rFonts w:ascii="Times New Roman" w:hAnsi="Times New Roman" w:cs="Times New Roman"/>
                <w:sz w:val="24"/>
                <w:szCs w:val="24"/>
              </w:rPr>
              <w:t>. Hinnatakse, kas teadlikkus üritus</w:t>
            </w:r>
            <w:r w:rsidR="009D3DA8" w:rsidRPr="007F3180">
              <w:rPr>
                <w:rFonts w:ascii="Times New Roman" w:hAnsi="Times New Roman" w:cs="Times New Roman"/>
                <w:sz w:val="24"/>
                <w:szCs w:val="24"/>
              </w:rPr>
              <w:t>(</w:t>
            </w:r>
            <w:r w:rsidRPr="007F3180">
              <w:rPr>
                <w:rFonts w:ascii="Times New Roman" w:hAnsi="Times New Roman" w:cs="Times New Roman"/>
                <w:sz w:val="24"/>
                <w:szCs w:val="24"/>
              </w:rPr>
              <w:t>t</w:t>
            </w:r>
            <w:r w:rsidR="009D3DA8" w:rsidRPr="007F3180">
              <w:rPr>
                <w:rFonts w:ascii="Times New Roman" w:hAnsi="Times New Roman" w:cs="Times New Roman"/>
                <w:sz w:val="24"/>
                <w:szCs w:val="24"/>
              </w:rPr>
              <w:t>)</w:t>
            </w:r>
            <w:r w:rsidRPr="007F3180">
              <w:rPr>
                <w:rFonts w:ascii="Times New Roman" w:hAnsi="Times New Roman" w:cs="Times New Roman"/>
                <w:sz w:val="24"/>
                <w:szCs w:val="24"/>
              </w:rPr>
              <w:t>e toimumise kohta piirkonnas ja ühiskonnas laiemalt on tagatud.</w:t>
            </w:r>
          </w:p>
        </w:tc>
      </w:tr>
      <w:tr w:rsidR="004B7E62" w:rsidRPr="007F3180" w14:paraId="13882571" w14:textId="77777777" w:rsidTr="0024342D">
        <w:tc>
          <w:tcPr>
            <w:tcW w:w="10491" w:type="dxa"/>
          </w:tcPr>
          <w:p w14:paraId="3DAAB58D" w14:textId="77777777" w:rsidR="004B7E62" w:rsidRPr="007F3180" w:rsidRDefault="004B7E62" w:rsidP="00280851">
            <w:pPr>
              <w:pStyle w:val="Default"/>
              <w:jc w:val="both"/>
              <w:rPr>
                <w:b/>
                <w:bCs/>
                <w:color w:val="auto"/>
              </w:rPr>
            </w:pPr>
            <w:r w:rsidRPr="007F3180">
              <w:rPr>
                <w:b/>
                <w:bCs/>
                <w:color w:val="auto"/>
              </w:rPr>
              <w:t>Hinnete kirjeldus:</w:t>
            </w:r>
          </w:p>
          <w:p w14:paraId="5903B5C4" w14:textId="559017D4" w:rsidR="004B7E62" w:rsidRPr="007F3180" w:rsidRDefault="00E85ECF" w:rsidP="00280851">
            <w:pPr>
              <w:pStyle w:val="Default"/>
              <w:jc w:val="both"/>
              <w:rPr>
                <w:color w:val="auto"/>
              </w:rPr>
            </w:pPr>
            <w:r w:rsidRPr="007F3180">
              <w:rPr>
                <w:color w:val="auto"/>
              </w:rPr>
              <w:t>1</w:t>
            </w:r>
            <w:r w:rsidR="004B7E62" w:rsidRPr="007F3180">
              <w:rPr>
                <w:color w:val="auto"/>
              </w:rPr>
              <w:t xml:space="preserve">0 – </w:t>
            </w:r>
            <w:r w:rsidR="0024283C" w:rsidRPr="007F3180">
              <w:rPr>
                <w:color w:val="auto"/>
              </w:rPr>
              <w:t>väga hea</w:t>
            </w:r>
          </w:p>
          <w:p w14:paraId="7E610E58" w14:textId="358DACC9" w:rsidR="004B7E62" w:rsidRPr="007F3180" w:rsidRDefault="00E85ECF" w:rsidP="00280851">
            <w:pPr>
              <w:pStyle w:val="Default"/>
              <w:jc w:val="both"/>
              <w:rPr>
                <w:color w:val="auto"/>
              </w:rPr>
            </w:pPr>
            <w:r w:rsidRPr="007F3180">
              <w:rPr>
                <w:color w:val="auto"/>
              </w:rPr>
              <w:lastRenderedPageBreak/>
              <w:t xml:space="preserve">  7</w:t>
            </w:r>
            <w:r w:rsidR="004B7E62" w:rsidRPr="007F3180">
              <w:rPr>
                <w:color w:val="auto"/>
              </w:rPr>
              <w:t xml:space="preserve"> – </w:t>
            </w:r>
            <w:r w:rsidR="0024283C" w:rsidRPr="007F3180">
              <w:rPr>
                <w:color w:val="auto"/>
              </w:rPr>
              <w:t>hea</w:t>
            </w:r>
            <w:r w:rsidR="004B7E62" w:rsidRPr="007F3180">
              <w:rPr>
                <w:color w:val="auto"/>
              </w:rPr>
              <w:t xml:space="preserve"> </w:t>
            </w:r>
          </w:p>
          <w:p w14:paraId="6C70469E" w14:textId="344AC1D6" w:rsidR="004B7E62" w:rsidRPr="007F3180" w:rsidRDefault="00E85ECF" w:rsidP="00280851">
            <w:pPr>
              <w:pStyle w:val="Default"/>
              <w:jc w:val="both"/>
              <w:rPr>
                <w:color w:val="auto"/>
              </w:rPr>
            </w:pPr>
            <w:r w:rsidRPr="007F3180">
              <w:rPr>
                <w:color w:val="auto"/>
              </w:rPr>
              <w:t xml:space="preserve">  5</w:t>
            </w:r>
            <w:r w:rsidR="004B7E62" w:rsidRPr="007F3180">
              <w:rPr>
                <w:color w:val="auto"/>
              </w:rPr>
              <w:t xml:space="preserve"> – </w:t>
            </w:r>
            <w:r w:rsidR="0024283C" w:rsidRPr="007F3180">
              <w:rPr>
                <w:color w:val="auto"/>
              </w:rPr>
              <w:t>rahuldav</w:t>
            </w:r>
          </w:p>
          <w:p w14:paraId="2A5216F5" w14:textId="52FFD2C7" w:rsidR="004B7E62" w:rsidRPr="007F3180" w:rsidRDefault="004B7E62" w:rsidP="00280851">
            <w:pPr>
              <w:pStyle w:val="Default"/>
              <w:jc w:val="both"/>
              <w:rPr>
                <w:color w:val="auto"/>
              </w:rPr>
            </w:pPr>
            <w:r w:rsidRPr="007F3180">
              <w:rPr>
                <w:color w:val="auto"/>
              </w:rPr>
              <w:t xml:space="preserve">  </w:t>
            </w:r>
            <w:r w:rsidR="00E85ECF" w:rsidRPr="007F3180">
              <w:rPr>
                <w:color w:val="auto"/>
              </w:rPr>
              <w:t>2</w:t>
            </w:r>
            <w:r w:rsidRPr="007F3180">
              <w:rPr>
                <w:color w:val="auto"/>
              </w:rPr>
              <w:t xml:space="preserve"> – </w:t>
            </w:r>
            <w:r w:rsidR="0024283C" w:rsidRPr="007F3180">
              <w:rPr>
                <w:color w:val="auto"/>
              </w:rPr>
              <w:t>nõrk</w:t>
            </w:r>
          </w:p>
          <w:p w14:paraId="2A477CB6" w14:textId="5FF811BC" w:rsidR="004B7E62" w:rsidRPr="007F3180" w:rsidRDefault="004B7E62" w:rsidP="00280851">
            <w:pPr>
              <w:pStyle w:val="Default"/>
              <w:jc w:val="both"/>
            </w:pPr>
            <w:r w:rsidRPr="007F3180">
              <w:rPr>
                <w:color w:val="auto"/>
              </w:rPr>
              <w:t xml:space="preserve">  0 – </w:t>
            </w:r>
            <w:r w:rsidR="0024283C" w:rsidRPr="007F3180">
              <w:rPr>
                <w:color w:val="auto"/>
              </w:rPr>
              <w:t>puudub</w:t>
            </w:r>
          </w:p>
        </w:tc>
      </w:tr>
      <w:tr w:rsidR="004B7E62" w:rsidRPr="007F3180" w14:paraId="4F0FF4C0" w14:textId="77777777" w:rsidTr="0024342D">
        <w:tc>
          <w:tcPr>
            <w:tcW w:w="10491" w:type="dxa"/>
          </w:tcPr>
          <w:p w14:paraId="691112ED" w14:textId="7F5B42E2" w:rsidR="004B7E62" w:rsidRPr="007F3180" w:rsidRDefault="007837D1" w:rsidP="00A35C0A">
            <w:pPr>
              <w:pStyle w:val="Loendilik"/>
              <w:numPr>
                <w:ilvl w:val="0"/>
                <w:numId w:val="3"/>
              </w:numPr>
              <w:autoSpaceDN w:val="0"/>
              <w:spacing w:after="120"/>
              <w:ind w:left="320" w:hanging="284"/>
              <w:jc w:val="both"/>
              <w:rPr>
                <w:rFonts w:ascii="Times New Roman" w:hAnsi="Times New Roman" w:cs="Times New Roman"/>
                <w:b/>
                <w:bCs/>
                <w:sz w:val="24"/>
                <w:szCs w:val="24"/>
              </w:rPr>
            </w:pPr>
            <w:r w:rsidRPr="007F3180">
              <w:rPr>
                <w:rFonts w:ascii="Times New Roman" w:hAnsi="Times New Roman" w:cs="Times New Roman"/>
                <w:b/>
                <w:bCs/>
                <w:sz w:val="24"/>
                <w:szCs w:val="24"/>
              </w:rPr>
              <w:lastRenderedPageBreak/>
              <w:t>Projekti kavandatud kulutuste põhjendatus, selgus ja kulutõhusus</w:t>
            </w:r>
            <w:r w:rsidR="00A35C0A" w:rsidRPr="007F3180">
              <w:rPr>
                <w:rFonts w:ascii="Times New Roman" w:hAnsi="Times New Roman" w:cs="Times New Roman"/>
                <w:b/>
                <w:bCs/>
                <w:sz w:val="24"/>
                <w:szCs w:val="24"/>
              </w:rPr>
              <w:t xml:space="preserve"> – 20% maksimaalsest koondhindest</w:t>
            </w:r>
          </w:p>
        </w:tc>
      </w:tr>
      <w:tr w:rsidR="00A35C0A" w:rsidRPr="007F3180" w14:paraId="0166AE7D" w14:textId="77777777" w:rsidTr="0024342D">
        <w:tc>
          <w:tcPr>
            <w:tcW w:w="10491" w:type="dxa"/>
          </w:tcPr>
          <w:p w14:paraId="4E3C7BD0" w14:textId="3FA1619D" w:rsidR="00827838" w:rsidRPr="007F3180" w:rsidRDefault="00827838" w:rsidP="00CF2900">
            <w:pPr>
              <w:pStyle w:val="Loendilik"/>
              <w:autoSpaceDN w:val="0"/>
              <w:spacing w:after="120"/>
              <w:ind w:left="0"/>
              <w:jc w:val="both"/>
              <w:rPr>
                <w:rFonts w:ascii="Times New Roman" w:hAnsi="Times New Roman" w:cs="Times New Roman"/>
                <w:sz w:val="24"/>
                <w:szCs w:val="24"/>
              </w:rPr>
            </w:pPr>
            <w:r w:rsidRPr="007F3180">
              <w:rPr>
                <w:rFonts w:ascii="Times New Roman" w:hAnsi="Times New Roman" w:cs="Times New Roman"/>
                <w:sz w:val="24"/>
                <w:szCs w:val="24"/>
              </w:rPr>
              <w:t>Hindamisel arvestatakse, kas kulud on optimaalsed ja kuluefektiivsed planeeritud tulemuste saavutamiseks ning projekti elluviimise seisukohast põhjendatud. Hinnatakse, kas planeeritud eelarve on realistlik ning on selge, milliste arvutuste ja hinnangute alusel on eelarve ko</w:t>
            </w:r>
            <w:r w:rsidR="009D3DA8" w:rsidRPr="007F3180">
              <w:rPr>
                <w:rFonts w:ascii="Times New Roman" w:hAnsi="Times New Roman" w:cs="Times New Roman"/>
                <w:sz w:val="24"/>
                <w:szCs w:val="24"/>
              </w:rPr>
              <w:t>ostatud</w:t>
            </w:r>
            <w:r w:rsidRPr="007F3180">
              <w:rPr>
                <w:rFonts w:ascii="Times New Roman" w:hAnsi="Times New Roman" w:cs="Times New Roman"/>
                <w:sz w:val="24"/>
                <w:szCs w:val="24"/>
              </w:rPr>
              <w:t>.</w:t>
            </w:r>
          </w:p>
        </w:tc>
      </w:tr>
      <w:tr w:rsidR="004B7E62" w:rsidRPr="007F3180" w14:paraId="26D97999" w14:textId="77777777" w:rsidTr="0024342D">
        <w:tc>
          <w:tcPr>
            <w:tcW w:w="10491" w:type="dxa"/>
          </w:tcPr>
          <w:p w14:paraId="322D3DBF" w14:textId="77777777" w:rsidR="004B7E62" w:rsidRPr="007F3180" w:rsidRDefault="004B7E62" w:rsidP="00280851">
            <w:pPr>
              <w:pStyle w:val="Default"/>
              <w:jc w:val="both"/>
              <w:rPr>
                <w:b/>
                <w:bCs/>
                <w:color w:val="auto"/>
              </w:rPr>
            </w:pPr>
            <w:r w:rsidRPr="007F3180">
              <w:rPr>
                <w:b/>
                <w:bCs/>
                <w:color w:val="auto"/>
              </w:rPr>
              <w:t>Hinnete kirjeldus:</w:t>
            </w:r>
          </w:p>
          <w:p w14:paraId="0CA6939E" w14:textId="43DA54F3" w:rsidR="004B7E62" w:rsidRPr="007F3180" w:rsidRDefault="004B7E62" w:rsidP="00280851">
            <w:pPr>
              <w:pStyle w:val="Default"/>
              <w:jc w:val="both"/>
              <w:rPr>
                <w:color w:val="auto"/>
              </w:rPr>
            </w:pPr>
            <w:r w:rsidRPr="007F3180">
              <w:rPr>
                <w:color w:val="auto"/>
              </w:rPr>
              <w:t xml:space="preserve">20 – </w:t>
            </w:r>
            <w:r w:rsidR="0024283C" w:rsidRPr="007F3180">
              <w:rPr>
                <w:color w:val="auto"/>
              </w:rPr>
              <w:t>väga hea</w:t>
            </w:r>
          </w:p>
          <w:p w14:paraId="6D79D5F5" w14:textId="625EDEAE" w:rsidR="004B7E62" w:rsidRPr="007F3180" w:rsidRDefault="004B7E62" w:rsidP="00280851">
            <w:pPr>
              <w:pStyle w:val="Default"/>
              <w:jc w:val="both"/>
              <w:rPr>
                <w:color w:val="auto"/>
              </w:rPr>
            </w:pPr>
            <w:r w:rsidRPr="007F3180">
              <w:rPr>
                <w:color w:val="auto"/>
              </w:rPr>
              <w:t xml:space="preserve">15 – </w:t>
            </w:r>
            <w:r w:rsidR="0024283C" w:rsidRPr="007F3180">
              <w:rPr>
                <w:color w:val="auto"/>
              </w:rPr>
              <w:t>hea</w:t>
            </w:r>
          </w:p>
          <w:p w14:paraId="761215BB" w14:textId="0E3C9B6A" w:rsidR="004B7E62" w:rsidRPr="007F3180" w:rsidRDefault="004B7E62" w:rsidP="00280851">
            <w:pPr>
              <w:pStyle w:val="Default"/>
              <w:jc w:val="both"/>
              <w:rPr>
                <w:color w:val="auto"/>
              </w:rPr>
            </w:pPr>
            <w:r w:rsidRPr="007F3180">
              <w:rPr>
                <w:color w:val="auto"/>
              </w:rPr>
              <w:t xml:space="preserve">10 – </w:t>
            </w:r>
            <w:r w:rsidR="0024283C" w:rsidRPr="007F3180">
              <w:rPr>
                <w:color w:val="auto"/>
              </w:rPr>
              <w:t>rahuldav</w:t>
            </w:r>
          </w:p>
          <w:p w14:paraId="2ED89F58" w14:textId="28FA91F2" w:rsidR="004B7E62" w:rsidRPr="007F3180" w:rsidRDefault="00A32D59" w:rsidP="00A32D59">
            <w:pPr>
              <w:pStyle w:val="Default"/>
              <w:jc w:val="both"/>
              <w:rPr>
                <w:color w:val="auto"/>
              </w:rPr>
            </w:pPr>
            <w:r w:rsidRPr="007F3180">
              <w:rPr>
                <w:color w:val="auto"/>
              </w:rPr>
              <w:t xml:space="preserve">  5 </w:t>
            </w:r>
            <w:r w:rsidR="004B7E62" w:rsidRPr="007F3180">
              <w:rPr>
                <w:color w:val="auto"/>
              </w:rPr>
              <w:t xml:space="preserve">– </w:t>
            </w:r>
            <w:r w:rsidR="0024283C" w:rsidRPr="007F3180">
              <w:rPr>
                <w:color w:val="auto"/>
              </w:rPr>
              <w:t>nõrk</w:t>
            </w:r>
          </w:p>
          <w:p w14:paraId="4765C8E9" w14:textId="4D9E3083" w:rsidR="004B7E62" w:rsidRPr="007F3180" w:rsidRDefault="0024283C" w:rsidP="0024283C">
            <w:pPr>
              <w:pStyle w:val="Default"/>
              <w:jc w:val="both"/>
              <w:rPr>
                <w:color w:val="auto"/>
              </w:rPr>
            </w:pPr>
            <w:r w:rsidRPr="007F3180">
              <w:rPr>
                <w:color w:val="auto"/>
              </w:rPr>
              <w:t xml:space="preserve">  0 </w:t>
            </w:r>
            <w:r w:rsidR="004B7E62" w:rsidRPr="007F3180">
              <w:rPr>
                <w:color w:val="auto"/>
              </w:rPr>
              <w:t xml:space="preserve">– </w:t>
            </w:r>
            <w:r w:rsidRPr="007F3180">
              <w:rPr>
                <w:color w:val="auto"/>
              </w:rPr>
              <w:t>puudub</w:t>
            </w:r>
          </w:p>
        </w:tc>
      </w:tr>
      <w:tr w:rsidR="004B7E62" w:rsidRPr="007F3180" w14:paraId="1A48A91A" w14:textId="77777777" w:rsidTr="0024342D">
        <w:tc>
          <w:tcPr>
            <w:tcW w:w="10491" w:type="dxa"/>
          </w:tcPr>
          <w:p w14:paraId="001AAC17" w14:textId="17877963" w:rsidR="004B7E62" w:rsidRPr="007F3180" w:rsidRDefault="00B22010" w:rsidP="0024342D">
            <w:pPr>
              <w:pStyle w:val="Lihttekst"/>
              <w:numPr>
                <w:ilvl w:val="0"/>
                <w:numId w:val="3"/>
              </w:numPr>
              <w:spacing w:after="120"/>
              <w:ind w:left="357" w:hanging="357"/>
              <w:jc w:val="both"/>
              <w:rPr>
                <w:rFonts w:ascii="Times New Roman" w:hAnsi="Times New Roman" w:cs="Times New Roman"/>
                <w:b/>
                <w:bCs/>
                <w:sz w:val="24"/>
                <w:szCs w:val="24"/>
              </w:rPr>
            </w:pPr>
            <w:r w:rsidRPr="007F3180">
              <w:rPr>
                <w:rFonts w:ascii="Times New Roman" w:hAnsi="Times New Roman" w:cs="Times New Roman"/>
                <w:b/>
                <w:bCs/>
                <w:sz w:val="24"/>
                <w:szCs w:val="24"/>
              </w:rPr>
              <w:t>Projekti elluviimise abil saavutatav mõju ettevõtlusele ja piirkonna atraktiivsuse suurendamisele</w:t>
            </w:r>
            <w:bookmarkStart w:id="2" w:name="_Hlk160623759"/>
            <w:r w:rsidR="00A35C0A" w:rsidRPr="007F3180">
              <w:rPr>
                <w:rFonts w:ascii="Times New Roman" w:hAnsi="Times New Roman" w:cs="Times New Roman"/>
                <w:b/>
                <w:bCs/>
                <w:sz w:val="24"/>
                <w:szCs w:val="24"/>
              </w:rPr>
              <w:t xml:space="preserve"> </w:t>
            </w:r>
            <w:bookmarkEnd w:id="2"/>
            <w:r w:rsidR="00A35C0A" w:rsidRPr="007F3180">
              <w:rPr>
                <w:rFonts w:ascii="Times New Roman" w:hAnsi="Times New Roman" w:cs="Times New Roman"/>
                <w:b/>
                <w:bCs/>
                <w:sz w:val="24"/>
                <w:szCs w:val="24"/>
              </w:rPr>
              <w:t>– 3</w:t>
            </w:r>
            <w:r w:rsidR="004B7E62" w:rsidRPr="007F3180">
              <w:rPr>
                <w:rFonts w:ascii="Times New Roman" w:hAnsi="Times New Roman" w:cs="Times New Roman"/>
                <w:b/>
                <w:bCs/>
                <w:color w:val="202020"/>
                <w:sz w:val="24"/>
                <w:szCs w:val="24"/>
                <w:shd w:val="clear" w:color="auto" w:fill="FFFFFF"/>
              </w:rPr>
              <w:t xml:space="preserve">0% </w:t>
            </w:r>
            <w:r w:rsidR="004B7E62" w:rsidRPr="007F3180">
              <w:rPr>
                <w:rFonts w:ascii="Times New Roman" w:hAnsi="Times New Roman" w:cs="Times New Roman"/>
                <w:b/>
                <w:bCs/>
                <w:sz w:val="24"/>
                <w:szCs w:val="24"/>
              </w:rPr>
              <w:t>maksimaalsest koondhindest</w:t>
            </w:r>
          </w:p>
        </w:tc>
      </w:tr>
      <w:tr w:rsidR="00A35C0A" w:rsidRPr="007F3180" w14:paraId="4B532E8A" w14:textId="77777777" w:rsidTr="0024342D">
        <w:tc>
          <w:tcPr>
            <w:tcW w:w="10491" w:type="dxa"/>
          </w:tcPr>
          <w:p w14:paraId="2579C3A4" w14:textId="2073B5EC" w:rsidR="00827838" w:rsidRPr="007F3180" w:rsidRDefault="00827838" w:rsidP="006E4FE7">
            <w:pPr>
              <w:spacing w:line="259" w:lineRule="auto"/>
              <w:rPr>
                <w:rFonts w:ascii="Times New Roman" w:hAnsi="Times New Roman" w:cs="Times New Roman"/>
                <w:color w:val="FF0000"/>
                <w:sz w:val="24"/>
                <w:szCs w:val="24"/>
              </w:rPr>
            </w:pPr>
            <w:r w:rsidRPr="007F3180">
              <w:rPr>
                <w:rFonts w:ascii="Times New Roman" w:hAnsi="Times New Roman" w:cs="Times New Roman"/>
                <w:sz w:val="24"/>
                <w:szCs w:val="24"/>
              </w:rPr>
              <w:t>Hinnatakse, kuivõrd mõjutab sündmuse korraldamine positiivselt piirkonna ettevõtlust, näiteks kas sündmus mõjutab külastajate ja osalejate ööbimist tulenevalt sündmuse kestusest või kas</w:t>
            </w:r>
            <w:r w:rsidR="009D3DA8" w:rsidRPr="007F3180">
              <w:rPr>
                <w:rFonts w:ascii="Times New Roman" w:hAnsi="Times New Roman" w:cs="Times New Roman"/>
                <w:sz w:val="24"/>
                <w:szCs w:val="24"/>
              </w:rPr>
              <w:t xml:space="preserve"> ja kuivõrd on</w:t>
            </w:r>
            <w:r w:rsidRPr="007F3180">
              <w:rPr>
                <w:rFonts w:ascii="Times New Roman" w:hAnsi="Times New Roman" w:cs="Times New Roman"/>
                <w:sz w:val="24"/>
                <w:szCs w:val="24"/>
              </w:rPr>
              <w:t xml:space="preserve"> sündmuse korraldamisse kaasatud kohalikud ettevõtted. </w:t>
            </w:r>
            <w:r w:rsidR="009D3DA8" w:rsidRPr="007F3180">
              <w:rPr>
                <w:rFonts w:ascii="Times New Roman" w:hAnsi="Times New Roman" w:cs="Times New Roman"/>
                <w:sz w:val="24"/>
                <w:szCs w:val="24"/>
              </w:rPr>
              <w:t xml:space="preserve">Hinnatakse, </w:t>
            </w:r>
            <w:r w:rsidR="00F012B6" w:rsidRPr="007F3180">
              <w:rPr>
                <w:rFonts w:ascii="Times New Roman" w:hAnsi="Times New Roman" w:cs="Times New Roman"/>
                <w:sz w:val="24"/>
                <w:szCs w:val="24"/>
              </w:rPr>
              <w:t xml:space="preserve">kas sündmuse läbiviimisega kaasneb mõju Ida-Virumaa kui sündmuste toimumise sihtkoha tuntuse suurenemisele ning </w:t>
            </w:r>
            <w:r w:rsidR="009D3DA8" w:rsidRPr="007F3180">
              <w:rPr>
                <w:rFonts w:ascii="Times New Roman" w:hAnsi="Times New Roman" w:cs="Times New Roman"/>
                <w:sz w:val="24"/>
                <w:szCs w:val="24"/>
              </w:rPr>
              <w:t>kuidas on tagatud sündmustega kaasneva majandusliku mõju kestmine.</w:t>
            </w:r>
            <w:r w:rsidR="00637406" w:rsidRPr="007F3180">
              <w:rPr>
                <w:rFonts w:ascii="Times New Roman" w:hAnsi="Times New Roman" w:cs="Times New Roman"/>
                <w:color w:val="FF0000"/>
                <w:sz w:val="24"/>
                <w:szCs w:val="24"/>
              </w:rPr>
              <w:t xml:space="preserve"> </w:t>
            </w:r>
            <w:r w:rsidR="00191C97" w:rsidRPr="007F3180">
              <w:rPr>
                <w:rFonts w:ascii="Times New Roman" w:hAnsi="Times New Roman" w:cs="Times New Roman"/>
                <w:sz w:val="24"/>
                <w:szCs w:val="24"/>
              </w:rPr>
              <w:t>Eelistatakse</w:t>
            </w:r>
            <w:r w:rsidR="00B86E5F" w:rsidRPr="007F3180">
              <w:rPr>
                <w:rFonts w:ascii="Times New Roman" w:hAnsi="Times New Roman" w:cs="Times New Roman"/>
                <w:sz w:val="24"/>
                <w:szCs w:val="24"/>
              </w:rPr>
              <w:t xml:space="preserve"> sündmust</w:t>
            </w:r>
            <w:r w:rsidR="00191C97" w:rsidRPr="007F3180">
              <w:rPr>
                <w:rFonts w:ascii="Times New Roman" w:hAnsi="Times New Roman" w:cs="Times New Roman"/>
                <w:sz w:val="24"/>
                <w:szCs w:val="24"/>
              </w:rPr>
              <w:t>, mille mõju piirkonna ettevõtlusele avaldub perioodil september-mai, kui maakonna külastajate arv on</w:t>
            </w:r>
            <w:r w:rsidR="00B86E5F" w:rsidRPr="007F3180">
              <w:rPr>
                <w:rFonts w:ascii="Times New Roman" w:hAnsi="Times New Roman" w:cs="Times New Roman"/>
                <w:sz w:val="24"/>
                <w:szCs w:val="24"/>
              </w:rPr>
              <w:t xml:space="preserve"> ülejäänud perioodiga võrreldes </w:t>
            </w:r>
            <w:r w:rsidR="00191C97" w:rsidRPr="007F3180">
              <w:rPr>
                <w:rFonts w:ascii="Times New Roman" w:hAnsi="Times New Roman" w:cs="Times New Roman"/>
                <w:sz w:val="24"/>
                <w:szCs w:val="24"/>
              </w:rPr>
              <w:t>väiksem.</w:t>
            </w:r>
          </w:p>
        </w:tc>
      </w:tr>
      <w:tr w:rsidR="004B7E62" w:rsidRPr="007F3180" w14:paraId="27285EF1" w14:textId="77777777" w:rsidTr="0024342D">
        <w:tc>
          <w:tcPr>
            <w:tcW w:w="10491" w:type="dxa"/>
          </w:tcPr>
          <w:p w14:paraId="708C0D81" w14:textId="77777777" w:rsidR="004B7E62" w:rsidRPr="007F3180" w:rsidRDefault="004B7E62" w:rsidP="00280851">
            <w:pPr>
              <w:pStyle w:val="Default"/>
              <w:jc w:val="both"/>
              <w:rPr>
                <w:b/>
                <w:bCs/>
                <w:color w:val="auto"/>
              </w:rPr>
            </w:pPr>
            <w:r w:rsidRPr="007F3180">
              <w:rPr>
                <w:b/>
                <w:bCs/>
                <w:color w:val="auto"/>
              </w:rPr>
              <w:t>Hinnete kirjeldus:</w:t>
            </w:r>
          </w:p>
          <w:p w14:paraId="59CA214D" w14:textId="7941BAA7" w:rsidR="00E85ECF" w:rsidRPr="007F3180" w:rsidRDefault="00BE69AF" w:rsidP="00E85ECF">
            <w:pPr>
              <w:pStyle w:val="Default"/>
              <w:jc w:val="both"/>
              <w:rPr>
                <w:color w:val="auto"/>
              </w:rPr>
            </w:pPr>
            <w:r w:rsidRPr="007F3180">
              <w:rPr>
                <w:color w:val="auto"/>
              </w:rPr>
              <w:t>25</w:t>
            </w:r>
            <w:r w:rsidR="00E85ECF" w:rsidRPr="007F3180">
              <w:rPr>
                <w:color w:val="auto"/>
              </w:rPr>
              <w:t>– väga hea</w:t>
            </w:r>
          </w:p>
          <w:p w14:paraId="3A6C5BDE" w14:textId="77777777" w:rsidR="00E85ECF" w:rsidRPr="007F3180" w:rsidRDefault="00E85ECF" w:rsidP="00E85ECF">
            <w:pPr>
              <w:pStyle w:val="Default"/>
              <w:jc w:val="both"/>
              <w:rPr>
                <w:color w:val="auto"/>
              </w:rPr>
            </w:pPr>
            <w:r w:rsidRPr="007F3180">
              <w:rPr>
                <w:color w:val="auto"/>
              </w:rPr>
              <w:t xml:space="preserve">20 – hea </w:t>
            </w:r>
          </w:p>
          <w:p w14:paraId="6A0D25C5" w14:textId="77777777" w:rsidR="00E85ECF" w:rsidRPr="007F3180" w:rsidRDefault="00E85ECF" w:rsidP="00E85ECF">
            <w:pPr>
              <w:pStyle w:val="Default"/>
              <w:jc w:val="both"/>
              <w:rPr>
                <w:color w:val="auto"/>
              </w:rPr>
            </w:pPr>
            <w:r w:rsidRPr="007F3180">
              <w:rPr>
                <w:color w:val="auto"/>
              </w:rPr>
              <w:t>15 – rahuldav</w:t>
            </w:r>
          </w:p>
          <w:p w14:paraId="6E38A45D" w14:textId="156ED368" w:rsidR="004B7E62" w:rsidRPr="007F3180" w:rsidRDefault="00E85ECF" w:rsidP="00E85ECF">
            <w:pPr>
              <w:pStyle w:val="Default"/>
              <w:jc w:val="both"/>
              <w:rPr>
                <w:color w:val="auto"/>
              </w:rPr>
            </w:pPr>
            <w:r w:rsidRPr="007F3180">
              <w:rPr>
                <w:color w:val="auto"/>
              </w:rPr>
              <w:t>10 – nõrk</w:t>
            </w:r>
          </w:p>
          <w:p w14:paraId="10196422" w14:textId="77777777" w:rsidR="004B7E62" w:rsidRPr="007F3180" w:rsidRDefault="004B7E62" w:rsidP="00280851">
            <w:pPr>
              <w:pStyle w:val="Default"/>
              <w:jc w:val="both"/>
              <w:rPr>
                <w:color w:val="auto"/>
              </w:rPr>
            </w:pPr>
            <w:r w:rsidRPr="007F3180">
              <w:rPr>
                <w:color w:val="auto"/>
              </w:rPr>
              <w:t xml:space="preserve">  0 – </w:t>
            </w:r>
            <w:r w:rsidR="0024283C" w:rsidRPr="007F3180">
              <w:rPr>
                <w:color w:val="auto"/>
              </w:rPr>
              <w:t>puudub</w:t>
            </w:r>
          </w:p>
          <w:p w14:paraId="0E066A4A" w14:textId="571DC220" w:rsidR="00BE69AF" w:rsidRPr="007F3180" w:rsidRDefault="00BE69AF" w:rsidP="00280851">
            <w:pPr>
              <w:pStyle w:val="Default"/>
              <w:jc w:val="both"/>
            </w:pPr>
            <w:r w:rsidRPr="007F3180">
              <w:t>5 punkti lisa</w:t>
            </w:r>
            <w:r w:rsidR="00B86E5F" w:rsidRPr="007F3180">
              <w:t>takse</w:t>
            </w:r>
            <w:r w:rsidRPr="007F3180">
              <w:t xml:space="preserve"> projektile, millega korraldatav sündmus toimub perioodil september-mai</w:t>
            </w:r>
          </w:p>
        </w:tc>
      </w:tr>
      <w:tr w:rsidR="0024342D" w:rsidRPr="007F3180" w14:paraId="4663A237" w14:textId="77777777" w:rsidTr="0024342D">
        <w:tc>
          <w:tcPr>
            <w:tcW w:w="10491" w:type="dxa"/>
          </w:tcPr>
          <w:p w14:paraId="63942BDD" w14:textId="5040BE2C" w:rsidR="0024342D" w:rsidRPr="007F3180" w:rsidRDefault="00A565E6" w:rsidP="00280851">
            <w:pPr>
              <w:pStyle w:val="Lihttekst"/>
              <w:numPr>
                <w:ilvl w:val="0"/>
                <w:numId w:val="3"/>
              </w:numPr>
              <w:spacing w:after="120"/>
              <w:ind w:left="357" w:hanging="357"/>
              <w:jc w:val="both"/>
              <w:rPr>
                <w:rFonts w:ascii="Times New Roman" w:hAnsi="Times New Roman" w:cs="Times New Roman"/>
                <w:b/>
                <w:bCs/>
                <w:sz w:val="24"/>
                <w:szCs w:val="24"/>
              </w:rPr>
            </w:pPr>
            <w:r w:rsidRPr="007F3180">
              <w:rPr>
                <w:rFonts w:ascii="Times New Roman" w:hAnsi="Times New Roman" w:cs="Times New Roman"/>
                <w:b/>
                <w:bCs/>
                <w:sz w:val="24"/>
                <w:szCs w:val="24"/>
              </w:rPr>
              <w:t>Projekti elluviimise abil saavutatav kogukondlik mõju</w:t>
            </w:r>
            <w:r w:rsidRPr="007F3180">
              <w:rPr>
                <w:rFonts w:ascii="Times New Roman" w:hAnsi="Times New Roman" w:cs="Times New Roman"/>
                <w:sz w:val="24"/>
                <w:szCs w:val="24"/>
              </w:rPr>
              <w:t xml:space="preserve"> </w:t>
            </w:r>
            <w:r w:rsidR="00A35C0A" w:rsidRPr="007F3180">
              <w:rPr>
                <w:rFonts w:ascii="Times New Roman" w:hAnsi="Times New Roman" w:cs="Times New Roman"/>
                <w:b/>
                <w:bCs/>
                <w:sz w:val="24"/>
                <w:szCs w:val="24"/>
              </w:rPr>
              <w:t>–</w:t>
            </w:r>
            <w:r w:rsidR="00CF2900" w:rsidRPr="007F3180">
              <w:rPr>
                <w:rFonts w:ascii="Times New Roman" w:hAnsi="Times New Roman" w:cs="Times New Roman"/>
                <w:b/>
                <w:bCs/>
                <w:sz w:val="24"/>
                <w:szCs w:val="24"/>
              </w:rPr>
              <w:t xml:space="preserve"> </w:t>
            </w:r>
            <w:r w:rsidRPr="007F3180">
              <w:rPr>
                <w:rFonts w:ascii="Times New Roman" w:hAnsi="Times New Roman" w:cs="Times New Roman"/>
                <w:b/>
                <w:bCs/>
                <w:sz w:val="24"/>
                <w:szCs w:val="24"/>
              </w:rPr>
              <w:t>2</w:t>
            </w:r>
            <w:r w:rsidR="0024342D" w:rsidRPr="007F3180">
              <w:rPr>
                <w:rFonts w:ascii="Times New Roman" w:hAnsi="Times New Roman" w:cs="Times New Roman"/>
                <w:b/>
                <w:bCs/>
                <w:color w:val="202020"/>
                <w:sz w:val="24"/>
                <w:szCs w:val="24"/>
                <w:shd w:val="clear" w:color="auto" w:fill="FFFFFF"/>
              </w:rPr>
              <w:t xml:space="preserve">0% </w:t>
            </w:r>
            <w:r w:rsidR="0024342D" w:rsidRPr="007F3180">
              <w:rPr>
                <w:rFonts w:ascii="Times New Roman" w:hAnsi="Times New Roman" w:cs="Times New Roman"/>
                <w:b/>
                <w:bCs/>
                <w:sz w:val="24"/>
                <w:szCs w:val="24"/>
              </w:rPr>
              <w:t>maksimaalsest koondhindest</w:t>
            </w:r>
          </w:p>
        </w:tc>
      </w:tr>
      <w:tr w:rsidR="00A35C0A" w:rsidRPr="007F3180" w14:paraId="5234DE5D" w14:textId="77777777" w:rsidTr="0024342D">
        <w:tc>
          <w:tcPr>
            <w:tcW w:w="10491" w:type="dxa"/>
          </w:tcPr>
          <w:p w14:paraId="123D3C09" w14:textId="76C4E124" w:rsidR="00827838" w:rsidRPr="007F3180" w:rsidRDefault="00CF2900" w:rsidP="009F6005">
            <w:pPr>
              <w:pStyle w:val="Lihttekst"/>
              <w:spacing w:after="120"/>
              <w:ind w:left="36"/>
              <w:jc w:val="both"/>
              <w:rPr>
                <w:rFonts w:ascii="Times New Roman" w:hAnsi="Times New Roman" w:cs="Times New Roman"/>
                <w:sz w:val="24"/>
                <w:szCs w:val="24"/>
              </w:rPr>
            </w:pPr>
            <w:r w:rsidRPr="007F3180">
              <w:rPr>
                <w:rFonts w:ascii="Times New Roman" w:hAnsi="Times New Roman" w:cs="Times New Roman"/>
                <w:sz w:val="24"/>
                <w:szCs w:val="24"/>
              </w:rPr>
              <w:t>Hinnatakse, kuivõrd mõjutab sündmus</w:t>
            </w:r>
            <w:r w:rsidR="00D21104" w:rsidRPr="007F3180">
              <w:rPr>
                <w:rFonts w:ascii="Times New Roman" w:hAnsi="Times New Roman" w:cs="Times New Roman"/>
                <w:sz w:val="24"/>
                <w:szCs w:val="24"/>
              </w:rPr>
              <w:t>t</w:t>
            </w:r>
            <w:r w:rsidRPr="007F3180">
              <w:rPr>
                <w:rFonts w:ascii="Times New Roman" w:hAnsi="Times New Roman" w:cs="Times New Roman"/>
                <w:sz w:val="24"/>
                <w:szCs w:val="24"/>
              </w:rPr>
              <w:t xml:space="preserve">e korraldamine positiivselt </w:t>
            </w:r>
            <w:r w:rsidR="00A565E6" w:rsidRPr="007F3180">
              <w:rPr>
                <w:rFonts w:ascii="Times New Roman" w:hAnsi="Times New Roman" w:cs="Times New Roman"/>
                <w:sz w:val="24"/>
                <w:szCs w:val="24"/>
              </w:rPr>
              <w:t>piirkonda ja kogukonda</w:t>
            </w:r>
            <w:r w:rsidR="00A36C98" w:rsidRPr="007F3180">
              <w:rPr>
                <w:rFonts w:ascii="Times New Roman" w:hAnsi="Times New Roman" w:cs="Times New Roman"/>
                <w:sz w:val="24"/>
                <w:szCs w:val="24"/>
              </w:rPr>
              <w:t>,</w:t>
            </w:r>
            <w:r w:rsidR="00144834" w:rsidRPr="007F3180">
              <w:rPr>
                <w:rFonts w:ascii="Times New Roman" w:hAnsi="Times New Roman" w:cs="Times New Roman"/>
                <w:sz w:val="24"/>
                <w:szCs w:val="24"/>
              </w:rPr>
              <w:t xml:space="preserve"> </w:t>
            </w:r>
            <w:r w:rsidRPr="007F3180">
              <w:rPr>
                <w:rFonts w:ascii="Times New Roman" w:hAnsi="Times New Roman" w:cs="Times New Roman"/>
                <w:sz w:val="24"/>
                <w:szCs w:val="24"/>
              </w:rPr>
              <w:t xml:space="preserve">kas sündmuse korraldamisse on kaasatud </w:t>
            </w:r>
            <w:r w:rsidR="00144834" w:rsidRPr="007F3180">
              <w:rPr>
                <w:rFonts w:ascii="Times New Roman" w:hAnsi="Times New Roman" w:cs="Times New Roman"/>
                <w:sz w:val="24"/>
                <w:szCs w:val="24"/>
              </w:rPr>
              <w:t xml:space="preserve">erinevaid </w:t>
            </w:r>
            <w:r w:rsidR="00385613" w:rsidRPr="007F3180">
              <w:rPr>
                <w:rFonts w:ascii="Times New Roman" w:hAnsi="Times New Roman" w:cs="Times New Roman"/>
                <w:sz w:val="24"/>
                <w:szCs w:val="24"/>
              </w:rPr>
              <w:t>kultuurilise taustaga inimesi ja kogukondi</w:t>
            </w:r>
            <w:r w:rsidR="00E85ECF" w:rsidRPr="007F3180">
              <w:rPr>
                <w:rFonts w:ascii="Times New Roman" w:hAnsi="Times New Roman" w:cs="Times New Roman"/>
                <w:sz w:val="24"/>
                <w:szCs w:val="24"/>
              </w:rPr>
              <w:t xml:space="preserve">; </w:t>
            </w:r>
            <w:r w:rsidRPr="007F3180">
              <w:rPr>
                <w:rFonts w:ascii="Times New Roman" w:hAnsi="Times New Roman" w:cs="Times New Roman"/>
                <w:sz w:val="24"/>
                <w:szCs w:val="24"/>
              </w:rPr>
              <w:t>k</w:t>
            </w:r>
            <w:r w:rsidR="00D21104" w:rsidRPr="007F3180">
              <w:rPr>
                <w:rFonts w:ascii="Times New Roman" w:hAnsi="Times New Roman" w:cs="Times New Roman"/>
                <w:sz w:val="24"/>
                <w:szCs w:val="24"/>
              </w:rPr>
              <w:t>uivõrd laialt haarab</w:t>
            </w:r>
            <w:r w:rsidRPr="007F3180">
              <w:rPr>
                <w:rFonts w:ascii="Times New Roman" w:hAnsi="Times New Roman" w:cs="Times New Roman"/>
                <w:sz w:val="24"/>
                <w:szCs w:val="24"/>
              </w:rPr>
              <w:t xml:space="preserve"> sündmus</w:t>
            </w:r>
            <w:r w:rsidR="00E85ECF" w:rsidRPr="007F3180">
              <w:rPr>
                <w:rFonts w:ascii="Times New Roman" w:hAnsi="Times New Roman" w:cs="Times New Roman"/>
                <w:sz w:val="24"/>
                <w:szCs w:val="24"/>
              </w:rPr>
              <w:t>t</w:t>
            </w:r>
            <w:r w:rsidRPr="007F3180">
              <w:rPr>
                <w:rFonts w:ascii="Times New Roman" w:hAnsi="Times New Roman" w:cs="Times New Roman"/>
                <w:sz w:val="24"/>
                <w:szCs w:val="24"/>
              </w:rPr>
              <w:t>e läbiviimi</w:t>
            </w:r>
            <w:r w:rsidR="00D21104" w:rsidRPr="007F3180">
              <w:rPr>
                <w:rFonts w:ascii="Times New Roman" w:hAnsi="Times New Roman" w:cs="Times New Roman"/>
                <w:sz w:val="24"/>
                <w:szCs w:val="24"/>
              </w:rPr>
              <w:t>n</w:t>
            </w:r>
            <w:r w:rsidRPr="007F3180">
              <w:rPr>
                <w:rFonts w:ascii="Times New Roman" w:hAnsi="Times New Roman" w:cs="Times New Roman"/>
                <w:sz w:val="24"/>
                <w:szCs w:val="24"/>
              </w:rPr>
              <w:t xml:space="preserve">e </w:t>
            </w:r>
            <w:r w:rsidR="00D21104" w:rsidRPr="007F3180">
              <w:rPr>
                <w:rFonts w:ascii="Times New Roman" w:hAnsi="Times New Roman" w:cs="Times New Roman"/>
                <w:sz w:val="24"/>
                <w:szCs w:val="24"/>
              </w:rPr>
              <w:t>p</w:t>
            </w:r>
            <w:r w:rsidRPr="007F3180">
              <w:rPr>
                <w:rFonts w:ascii="Times New Roman" w:hAnsi="Times New Roman" w:cs="Times New Roman"/>
                <w:sz w:val="24"/>
                <w:szCs w:val="24"/>
              </w:rPr>
              <w:t>iirkon</w:t>
            </w:r>
            <w:r w:rsidR="00D21104" w:rsidRPr="007F3180">
              <w:rPr>
                <w:rFonts w:ascii="Times New Roman" w:hAnsi="Times New Roman" w:cs="Times New Roman"/>
                <w:sz w:val="24"/>
                <w:szCs w:val="24"/>
              </w:rPr>
              <w:t>d</w:t>
            </w:r>
            <w:r w:rsidRPr="007F3180">
              <w:rPr>
                <w:rFonts w:ascii="Times New Roman" w:hAnsi="Times New Roman" w:cs="Times New Roman"/>
                <w:sz w:val="24"/>
                <w:szCs w:val="24"/>
              </w:rPr>
              <w:t>a</w:t>
            </w:r>
            <w:r w:rsidR="00E85ECF" w:rsidRPr="007F3180">
              <w:rPr>
                <w:rFonts w:ascii="Times New Roman" w:hAnsi="Times New Roman" w:cs="Times New Roman"/>
                <w:sz w:val="24"/>
                <w:szCs w:val="24"/>
              </w:rPr>
              <w:t xml:space="preserve"> </w:t>
            </w:r>
            <w:r w:rsidR="00D21104" w:rsidRPr="007F3180">
              <w:rPr>
                <w:rFonts w:ascii="Times New Roman" w:hAnsi="Times New Roman" w:cs="Times New Roman"/>
                <w:sz w:val="24"/>
                <w:szCs w:val="24"/>
              </w:rPr>
              <w:t>ja selle elanikke</w:t>
            </w:r>
            <w:r w:rsidR="00A565E6" w:rsidRPr="007F3180">
              <w:rPr>
                <w:rFonts w:ascii="Times New Roman" w:hAnsi="Times New Roman" w:cs="Times New Roman"/>
                <w:sz w:val="24"/>
                <w:szCs w:val="24"/>
              </w:rPr>
              <w:t>; mis muutusi toob sündmuste korraldamine kaasa kohalikule kogukonnale.</w:t>
            </w:r>
            <w:r w:rsidR="009F6005" w:rsidRPr="007F3180">
              <w:rPr>
                <w:rFonts w:ascii="Times New Roman" w:hAnsi="Times New Roman" w:cs="Times New Roman"/>
                <w:sz w:val="24"/>
                <w:szCs w:val="24"/>
              </w:rPr>
              <w:t xml:space="preserve"> Hindamisel arvestatakse, kas ürituse korraldaja on kohalik organisatsioon, kas kaasatakse kohalikke organisatsioone ürituse korraldamisse ning kas projektiga </w:t>
            </w:r>
            <w:proofErr w:type="spellStart"/>
            <w:r w:rsidR="009F6005" w:rsidRPr="007F3180">
              <w:rPr>
                <w:rFonts w:ascii="Times New Roman" w:hAnsi="Times New Roman" w:cs="Times New Roman"/>
                <w:sz w:val="24"/>
                <w:szCs w:val="24"/>
              </w:rPr>
              <w:t>võimestatakse</w:t>
            </w:r>
            <w:proofErr w:type="spellEnd"/>
            <w:r w:rsidR="009F6005" w:rsidRPr="007F3180">
              <w:rPr>
                <w:rFonts w:ascii="Times New Roman" w:hAnsi="Times New Roman" w:cs="Times New Roman"/>
                <w:sz w:val="24"/>
                <w:szCs w:val="24"/>
              </w:rPr>
              <w:t xml:space="preserve"> kogukondade ettevõtlikkust.</w:t>
            </w:r>
          </w:p>
        </w:tc>
      </w:tr>
      <w:tr w:rsidR="0024342D" w:rsidRPr="007F3180" w14:paraId="777222E3" w14:textId="77777777" w:rsidTr="0024342D">
        <w:tc>
          <w:tcPr>
            <w:tcW w:w="10491" w:type="dxa"/>
          </w:tcPr>
          <w:p w14:paraId="7752E527" w14:textId="77777777" w:rsidR="0024342D" w:rsidRPr="007F3180" w:rsidRDefault="0024342D" w:rsidP="00280851">
            <w:pPr>
              <w:pStyle w:val="Default"/>
              <w:jc w:val="both"/>
              <w:rPr>
                <w:b/>
                <w:bCs/>
                <w:color w:val="auto"/>
              </w:rPr>
            </w:pPr>
            <w:r w:rsidRPr="007F3180">
              <w:rPr>
                <w:b/>
                <w:bCs/>
                <w:color w:val="auto"/>
              </w:rPr>
              <w:t>Hinnete kirjeldus:</w:t>
            </w:r>
          </w:p>
          <w:p w14:paraId="3EA61003" w14:textId="77777777" w:rsidR="00A565E6" w:rsidRPr="007F3180" w:rsidRDefault="00A565E6" w:rsidP="00A565E6">
            <w:pPr>
              <w:pStyle w:val="Default"/>
              <w:jc w:val="both"/>
              <w:rPr>
                <w:color w:val="auto"/>
              </w:rPr>
            </w:pPr>
            <w:r w:rsidRPr="007F3180">
              <w:rPr>
                <w:color w:val="auto"/>
              </w:rPr>
              <w:t>20 – väga hea</w:t>
            </w:r>
          </w:p>
          <w:p w14:paraId="03C125A0" w14:textId="77777777" w:rsidR="00A565E6" w:rsidRPr="007F3180" w:rsidRDefault="00A565E6" w:rsidP="00A565E6">
            <w:pPr>
              <w:pStyle w:val="Default"/>
              <w:jc w:val="both"/>
              <w:rPr>
                <w:color w:val="auto"/>
              </w:rPr>
            </w:pPr>
            <w:r w:rsidRPr="007F3180">
              <w:rPr>
                <w:color w:val="auto"/>
              </w:rPr>
              <w:t>15 – hea</w:t>
            </w:r>
          </w:p>
          <w:p w14:paraId="23CD1922" w14:textId="77777777" w:rsidR="00A565E6" w:rsidRPr="007F3180" w:rsidRDefault="00A565E6" w:rsidP="00A565E6">
            <w:pPr>
              <w:pStyle w:val="Default"/>
              <w:jc w:val="both"/>
              <w:rPr>
                <w:color w:val="auto"/>
              </w:rPr>
            </w:pPr>
            <w:r w:rsidRPr="007F3180">
              <w:rPr>
                <w:color w:val="auto"/>
              </w:rPr>
              <w:t>10 – rahuldav</w:t>
            </w:r>
          </w:p>
          <w:p w14:paraId="0E49F510" w14:textId="77777777" w:rsidR="00A565E6" w:rsidRPr="007F3180" w:rsidRDefault="00A565E6" w:rsidP="00A565E6">
            <w:pPr>
              <w:pStyle w:val="Default"/>
              <w:jc w:val="both"/>
              <w:rPr>
                <w:color w:val="auto"/>
              </w:rPr>
            </w:pPr>
            <w:r w:rsidRPr="007F3180">
              <w:rPr>
                <w:color w:val="auto"/>
              </w:rPr>
              <w:t xml:space="preserve">  5 – nõrk</w:t>
            </w:r>
          </w:p>
          <w:p w14:paraId="25423183" w14:textId="464B13C5" w:rsidR="0024342D" w:rsidRPr="007F3180" w:rsidRDefault="00A565E6" w:rsidP="00A565E6">
            <w:pPr>
              <w:pStyle w:val="Default"/>
              <w:jc w:val="both"/>
            </w:pPr>
            <w:r w:rsidRPr="007F3180">
              <w:rPr>
                <w:color w:val="auto"/>
              </w:rPr>
              <w:t xml:space="preserve">  0 – puudub</w:t>
            </w:r>
          </w:p>
        </w:tc>
      </w:tr>
    </w:tbl>
    <w:p w14:paraId="37A1AA8C" w14:textId="77777777" w:rsidR="004F06BF" w:rsidRPr="007F3180" w:rsidRDefault="004F06BF" w:rsidP="00210DFA">
      <w:pPr>
        <w:spacing w:after="120" w:line="240" w:lineRule="auto"/>
        <w:jc w:val="both"/>
        <w:rPr>
          <w:rFonts w:ascii="Times New Roman" w:hAnsi="Times New Roman" w:cs="Times New Roman"/>
          <w:sz w:val="24"/>
          <w:szCs w:val="24"/>
        </w:rPr>
      </w:pPr>
    </w:p>
    <w:sectPr w:rsidR="004F06BF" w:rsidRPr="007F3180" w:rsidSect="00210DFA">
      <w:footerReference w:type="default" r:id="rId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6B755" w14:textId="77777777" w:rsidR="00410FF9" w:rsidRDefault="00410FF9" w:rsidP="00C80CDA">
      <w:pPr>
        <w:spacing w:after="0" w:line="240" w:lineRule="auto"/>
      </w:pPr>
      <w:r>
        <w:separator/>
      </w:r>
    </w:p>
  </w:endnote>
  <w:endnote w:type="continuationSeparator" w:id="0">
    <w:p w14:paraId="6CAB81F0" w14:textId="77777777" w:rsidR="00410FF9" w:rsidRDefault="00410FF9" w:rsidP="00C8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526134"/>
      <w:docPartObj>
        <w:docPartGallery w:val="Page Numbers (Bottom of Page)"/>
        <w:docPartUnique/>
      </w:docPartObj>
    </w:sdtPr>
    <w:sdtEndPr>
      <w:rPr>
        <w:rFonts w:ascii="Times New Roman" w:hAnsi="Times New Roman" w:cs="Times New Roman"/>
      </w:rPr>
    </w:sdtEndPr>
    <w:sdtContent>
      <w:p w14:paraId="2B768E1A" w14:textId="053E1FB6" w:rsidR="00C80CDA" w:rsidRPr="006B246B" w:rsidRDefault="00C80CDA">
        <w:pPr>
          <w:pStyle w:val="Jalus"/>
          <w:jc w:val="right"/>
          <w:rPr>
            <w:rFonts w:ascii="Times New Roman" w:hAnsi="Times New Roman" w:cs="Times New Roman"/>
          </w:rPr>
        </w:pPr>
        <w:r w:rsidRPr="006B246B">
          <w:rPr>
            <w:rFonts w:ascii="Times New Roman" w:hAnsi="Times New Roman" w:cs="Times New Roman"/>
          </w:rPr>
          <w:fldChar w:fldCharType="begin"/>
        </w:r>
        <w:r w:rsidRPr="006B246B">
          <w:rPr>
            <w:rFonts w:ascii="Times New Roman" w:hAnsi="Times New Roman" w:cs="Times New Roman"/>
          </w:rPr>
          <w:instrText>PAGE   \* MERGEFORMAT</w:instrText>
        </w:r>
        <w:r w:rsidRPr="006B246B">
          <w:rPr>
            <w:rFonts w:ascii="Times New Roman" w:hAnsi="Times New Roman" w:cs="Times New Roman"/>
          </w:rPr>
          <w:fldChar w:fldCharType="separate"/>
        </w:r>
        <w:r w:rsidRPr="006B246B">
          <w:rPr>
            <w:rFonts w:ascii="Times New Roman" w:hAnsi="Times New Roman" w:cs="Times New Roman"/>
          </w:rPr>
          <w:t>2</w:t>
        </w:r>
        <w:r w:rsidRPr="006B246B">
          <w:rPr>
            <w:rFonts w:ascii="Times New Roman" w:hAnsi="Times New Roman" w:cs="Times New Roman"/>
          </w:rPr>
          <w:fldChar w:fldCharType="end"/>
        </w:r>
      </w:p>
    </w:sdtContent>
  </w:sdt>
  <w:p w14:paraId="09866912" w14:textId="77777777" w:rsidR="00C80CDA" w:rsidRDefault="00C80CD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AB845" w14:textId="77777777" w:rsidR="00410FF9" w:rsidRDefault="00410FF9" w:rsidP="00C80CDA">
      <w:pPr>
        <w:spacing w:after="0" w:line="240" w:lineRule="auto"/>
      </w:pPr>
      <w:r>
        <w:separator/>
      </w:r>
    </w:p>
  </w:footnote>
  <w:footnote w:type="continuationSeparator" w:id="0">
    <w:p w14:paraId="599F663B" w14:textId="77777777" w:rsidR="00410FF9" w:rsidRDefault="00410FF9" w:rsidP="00C8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A65"/>
    <w:multiLevelType w:val="hybridMultilevel"/>
    <w:tmpl w:val="B94293F6"/>
    <w:lvl w:ilvl="0" w:tplc="CF2C873E">
      <w:start w:val="1"/>
      <w:numFmt w:val="decimal"/>
      <w:lvlText w:val="(%1)"/>
      <w:lvlJc w:val="left"/>
      <w:pPr>
        <w:ind w:left="360" w:hanging="360"/>
      </w:pPr>
      <w:rPr>
        <w:rFonts w:hint="default"/>
        <w:i w:val="0"/>
      </w:rPr>
    </w:lvl>
    <w:lvl w:ilvl="1" w:tplc="04250019">
      <w:start w:val="1"/>
      <w:numFmt w:val="lowerLetter"/>
      <w:lvlText w:val="%2."/>
      <w:lvlJc w:val="left"/>
      <w:pPr>
        <w:ind w:left="1080" w:hanging="360"/>
      </w:pPr>
    </w:lvl>
    <w:lvl w:ilvl="2" w:tplc="ADF077C4">
      <w:start w:val="1"/>
      <w:numFmt w:val="decimal"/>
      <w:lvlText w:val="%3)"/>
      <w:lvlJc w:val="right"/>
      <w:pPr>
        <w:ind w:left="180" w:hanging="180"/>
      </w:pPr>
      <w:rPr>
        <w:rFonts w:ascii="Times New Roman" w:eastAsia="Calibri" w:hAnsi="Times New Roman" w:cs="Times New Roman"/>
        <w:i w:val="0"/>
      </w:r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1C7707C"/>
    <w:multiLevelType w:val="hybridMultilevel"/>
    <w:tmpl w:val="16143AF0"/>
    <w:lvl w:ilvl="0" w:tplc="3F340548">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2" w15:restartNumberingAfterBreak="0">
    <w:nsid w:val="144B2AB6"/>
    <w:multiLevelType w:val="multilevel"/>
    <w:tmpl w:val="31304CC2"/>
    <w:lvl w:ilvl="0">
      <w:start w:val="1"/>
      <w:numFmt w:val="decimal"/>
      <w:lvlText w:val="(%1)"/>
      <w:lvlJc w:val="left"/>
      <w:pPr>
        <w:tabs>
          <w:tab w:val="num" w:pos="360"/>
        </w:tabs>
        <w:ind w:left="360" w:hanging="360"/>
      </w:pPr>
      <w:rPr>
        <w:rFonts w:ascii="Times New Roman" w:eastAsia="Calibri" w:hAnsi="Times New Roman" w:cs="Times New Roman" w:hint="default"/>
        <w:b w:val="0"/>
        <w:i w:val="0"/>
      </w:rPr>
    </w:lvl>
    <w:lvl w:ilvl="1">
      <w:start w:val="1"/>
      <w:numFmt w:val="decimal"/>
      <w:isLgl/>
      <w:lvlText w:val="(%2)"/>
      <w:lvlJc w:val="left"/>
      <w:pPr>
        <w:tabs>
          <w:tab w:val="num" w:pos="360"/>
        </w:tabs>
        <w:ind w:left="360" w:hanging="360"/>
      </w:pPr>
      <w:rPr>
        <w:rFonts w:ascii="Times New Roman" w:eastAsia="Calibri" w:hAnsi="Times New Roman" w:cs="Times New Roman" w:hint="default"/>
        <w:b w:val="0"/>
        <w:i w:val="0"/>
        <w:color w:val="auto"/>
      </w:rPr>
    </w:lvl>
    <w:lvl w:ilvl="2">
      <w:start w:val="1"/>
      <w:numFmt w:val="decimal"/>
      <w:isLgl/>
      <w:lvlText w:val="%3)"/>
      <w:lvlJc w:val="left"/>
      <w:pPr>
        <w:tabs>
          <w:tab w:val="num" w:pos="1146"/>
        </w:tabs>
        <w:ind w:left="1146" w:hanging="720"/>
      </w:pPr>
      <w:rPr>
        <w:rFonts w:ascii="Times New Roman" w:eastAsia="Calibri" w:hAnsi="Times New Roman" w:cs="Times New Roman" w:hint="default"/>
        <w:i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2A40036B"/>
    <w:multiLevelType w:val="multilevel"/>
    <w:tmpl w:val="E11EFB8E"/>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047100"/>
    <w:multiLevelType w:val="hybridMultilevel"/>
    <w:tmpl w:val="08F4F210"/>
    <w:lvl w:ilvl="0" w:tplc="04250011">
      <w:start w:val="2"/>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8EC7A59"/>
    <w:multiLevelType w:val="multilevel"/>
    <w:tmpl w:val="ECD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76CE7"/>
    <w:multiLevelType w:val="hybridMultilevel"/>
    <w:tmpl w:val="234212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1B41A4F"/>
    <w:multiLevelType w:val="hybridMultilevel"/>
    <w:tmpl w:val="A4F49902"/>
    <w:lvl w:ilvl="0" w:tplc="2F68020A">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A756343"/>
    <w:multiLevelType w:val="multilevel"/>
    <w:tmpl w:val="53BA7B2C"/>
    <w:lvl w:ilvl="0">
      <w:start w:val="3"/>
      <w:numFmt w:val="decimal"/>
      <w:lvlText w:val="(%1)"/>
      <w:lvlJc w:val="left"/>
      <w:pPr>
        <w:tabs>
          <w:tab w:val="num" w:pos="360"/>
        </w:tabs>
        <w:ind w:left="360" w:hanging="360"/>
      </w:pPr>
      <w:rPr>
        <w:rFonts w:ascii="Times New Roman" w:eastAsia="Calibri" w:hAnsi="Times New Roman" w:cs="Times New Roman" w:hint="default"/>
        <w:b w:val="0"/>
        <w:i w:val="0"/>
      </w:rPr>
    </w:lvl>
    <w:lvl w:ilvl="1">
      <w:start w:val="2"/>
      <w:numFmt w:val="decimal"/>
      <w:isLgl/>
      <w:lvlText w:val="(%2)"/>
      <w:lvlJc w:val="left"/>
      <w:pPr>
        <w:tabs>
          <w:tab w:val="num" w:pos="360"/>
        </w:tabs>
        <w:ind w:left="360" w:hanging="360"/>
      </w:pPr>
      <w:rPr>
        <w:rFonts w:ascii="Times New Roman" w:eastAsia="Calibri" w:hAnsi="Times New Roman" w:cs="Times New Roman" w:hint="default"/>
        <w:b w:val="0"/>
        <w:i w:val="0"/>
        <w:color w:val="auto"/>
      </w:rPr>
    </w:lvl>
    <w:lvl w:ilvl="2">
      <w:start w:val="1"/>
      <w:numFmt w:val="decimal"/>
      <w:isLgl/>
      <w:lvlText w:val="%3)"/>
      <w:lvlJc w:val="left"/>
      <w:pPr>
        <w:tabs>
          <w:tab w:val="num" w:pos="862"/>
        </w:tabs>
        <w:ind w:left="862" w:hanging="720"/>
      </w:pPr>
      <w:rPr>
        <w:rFonts w:ascii="Times New Roman" w:eastAsia="Calibri" w:hAnsi="Times New Roman" w:cs="Times New Roman" w:hint="default"/>
        <w:i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6A853956"/>
    <w:multiLevelType w:val="hybridMultilevel"/>
    <w:tmpl w:val="BF107D8A"/>
    <w:lvl w:ilvl="0" w:tplc="A57271F0">
      <w:start w:val="1"/>
      <w:numFmt w:val="decimal"/>
      <w:lvlText w:val="%1."/>
      <w:lvlJc w:val="left"/>
      <w:pPr>
        <w:ind w:left="720" w:hanging="360"/>
      </w:pPr>
      <w:rPr>
        <w:rFonts w:ascii="Times New Roman" w:eastAsiaTheme="minorHAnsi" w:hAnsi="Times New Roman" w:cstheme="minorBidi"/>
        <w:b/>
        <w:bCs w:val="0"/>
        <w:i w:val="0"/>
        <w:iCs w:val="0"/>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AC26DD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935413"/>
    <w:multiLevelType w:val="hybridMultilevel"/>
    <w:tmpl w:val="C590BD16"/>
    <w:lvl w:ilvl="0" w:tplc="DE26100A">
      <w:start w:val="5"/>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2" w15:restartNumberingAfterBreak="0">
    <w:nsid w:val="7C4A7E3E"/>
    <w:multiLevelType w:val="hybridMultilevel"/>
    <w:tmpl w:val="51B88894"/>
    <w:lvl w:ilvl="0" w:tplc="3E0EF6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7F7C00BC"/>
    <w:multiLevelType w:val="multilevel"/>
    <w:tmpl w:val="CAC6B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8708948">
    <w:abstractNumId w:val="6"/>
  </w:num>
  <w:num w:numId="2" w16cid:durableId="903567623">
    <w:abstractNumId w:val="3"/>
  </w:num>
  <w:num w:numId="3" w16cid:durableId="1475566979">
    <w:abstractNumId w:val="9"/>
  </w:num>
  <w:num w:numId="4" w16cid:durableId="171573630">
    <w:abstractNumId w:val="0"/>
  </w:num>
  <w:num w:numId="5" w16cid:durableId="863595076">
    <w:abstractNumId w:val="4"/>
  </w:num>
  <w:num w:numId="6" w16cid:durableId="210228715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83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594453">
    <w:abstractNumId w:val="5"/>
  </w:num>
  <w:num w:numId="9" w16cid:durableId="284048805">
    <w:abstractNumId w:val="12"/>
  </w:num>
  <w:num w:numId="10" w16cid:durableId="1277563704">
    <w:abstractNumId w:val="13"/>
  </w:num>
  <w:num w:numId="11" w16cid:durableId="527986003">
    <w:abstractNumId w:val="10"/>
  </w:num>
  <w:num w:numId="12" w16cid:durableId="85420789">
    <w:abstractNumId w:val="7"/>
  </w:num>
  <w:num w:numId="13" w16cid:durableId="1467619700">
    <w:abstractNumId w:val="1"/>
  </w:num>
  <w:num w:numId="14" w16cid:durableId="218398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04"/>
    <w:rsid w:val="000014E3"/>
    <w:rsid w:val="00004881"/>
    <w:rsid w:val="00010B44"/>
    <w:rsid w:val="00016BB9"/>
    <w:rsid w:val="0002163E"/>
    <w:rsid w:val="00030F1D"/>
    <w:rsid w:val="00037715"/>
    <w:rsid w:val="000463DE"/>
    <w:rsid w:val="000565E5"/>
    <w:rsid w:val="0005793B"/>
    <w:rsid w:val="000643A2"/>
    <w:rsid w:val="00065C33"/>
    <w:rsid w:val="00085CB2"/>
    <w:rsid w:val="00096794"/>
    <w:rsid w:val="00096CCD"/>
    <w:rsid w:val="000977BC"/>
    <w:rsid w:val="000A2A7B"/>
    <w:rsid w:val="000B2199"/>
    <w:rsid w:val="000B2355"/>
    <w:rsid w:val="000C191D"/>
    <w:rsid w:val="000C1C26"/>
    <w:rsid w:val="000C7F8C"/>
    <w:rsid w:val="000D2795"/>
    <w:rsid w:val="000D6A03"/>
    <w:rsid w:val="000E018E"/>
    <w:rsid w:val="000E1D6D"/>
    <w:rsid w:val="000F1677"/>
    <w:rsid w:val="001010DB"/>
    <w:rsid w:val="00115F3E"/>
    <w:rsid w:val="0012018B"/>
    <w:rsid w:val="0012196D"/>
    <w:rsid w:val="00130BF0"/>
    <w:rsid w:val="00132DFD"/>
    <w:rsid w:val="0013650A"/>
    <w:rsid w:val="00140A09"/>
    <w:rsid w:val="001423AB"/>
    <w:rsid w:val="00144834"/>
    <w:rsid w:val="00147EDA"/>
    <w:rsid w:val="001634BF"/>
    <w:rsid w:val="00175E0E"/>
    <w:rsid w:val="0018547B"/>
    <w:rsid w:val="00191923"/>
    <w:rsid w:val="00191C97"/>
    <w:rsid w:val="00192E5C"/>
    <w:rsid w:val="001948C8"/>
    <w:rsid w:val="001A50A9"/>
    <w:rsid w:val="001B0601"/>
    <w:rsid w:val="001B1AF2"/>
    <w:rsid w:val="001B4534"/>
    <w:rsid w:val="001C688B"/>
    <w:rsid w:val="001C6BE8"/>
    <w:rsid w:val="001D4D2F"/>
    <w:rsid w:val="001E2275"/>
    <w:rsid w:val="001F3246"/>
    <w:rsid w:val="001F7DDE"/>
    <w:rsid w:val="0020174C"/>
    <w:rsid w:val="002037A3"/>
    <w:rsid w:val="00210DFA"/>
    <w:rsid w:val="00240ECF"/>
    <w:rsid w:val="0024283C"/>
    <w:rsid w:val="0024342D"/>
    <w:rsid w:val="00252799"/>
    <w:rsid w:val="00265DAC"/>
    <w:rsid w:val="00275059"/>
    <w:rsid w:val="00280B35"/>
    <w:rsid w:val="00284208"/>
    <w:rsid w:val="00286E60"/>
    <w:rsid w:val="0029147D"/>
    <w:rsid w:val="00293719"/>
    <w:rsid w:val="0029656B"/>
    <w:rsid w:val="002A0A83"/>
    <w:rsid w:val="002A228A"/>
    <w:rsid w:val="002B5B08"/>
    <w:rsid w:val="002D1433"/>
    <w:rsid w:val="002D797B"/>
    <w:rsid w:val="002E0901"/>
    <w:rsid w:val="002E55B6"/>
    <w:rsid w:val="002E67AF"/>
    <w:rsid w:val="003157FF"/>
    <w:rsid w:val="00315ED7"/>
    <w:rsid w:val="003205EB"/>
    <w:rsid w:val="0033244E"/>
    <w:rsid w:val="00334B05"/>
    <w:rsid w:val="00336674"/>
    <w:rsid w:val="00340A50"/>
    <w:rsid w:val="00344075"/>
    <w:rsid w:val="003452BC"/>
    <w:rsid w:val="003512E1"/>
    <w:rsid w:val="00366593"/>
    <w:rsid w:val="0036796A"/>
    <w:rsid w:val="003719EC"/>
    <w:rsid w:val="00373718"/>
    <w:rsid w:val="00374895"/>
    <w:rsid w:val="00380EAA"/>
    <w:rsid w:val="00381D70"/>
    <w:rsid w:val="00382329"/>
    <w:rsid w:val="00383AD4"/>
    <w:rsid w:val="00383D0E"/>
    <w:rsid w:val="00384A54"/>
    <w:rsid w:val="00385613"/>
    <w:rsid w:val="003A0B60"/>
    <w:rsid w:val="003B1593"/>
    <w:rsid w:val="003B4D3E"/>
    <w:rsid w:val="003C7E27"/>
    <w:rsid w:val="003D0444"/>
    <w:rsid w:val="003E2750"/>
    <w:rsid w:val="003F4BF6"/>
    <w:rsid w:val="003F5F2F"/>
    <w:rsid w:val="00410FF9"/>
    <w:rsid w:val="004156BE"/>
    <w:rsid w:val="00435627"/>
    <w:rsid w:val="00450A19"/>
    <w:rsid w:val="0045377F"/>
    <w:rsid w:val="004659B2"/>
    <w:rsid w:val="00470014"/>
    <w:rsid w:val="00471BC9"/>
    <w:rsid w:val="004737D2"/>
    <w:rsid w:val="00480C9F"/>
    <w:rsid w:val="00484CD0"/>
    <w:rsid w:val="00485A90"/>
    <w:rsid w:val="00486B19"/>
    <w:rsid w:val="004A1471"/>
    <w:rsid w:val="004A44AA"/>
    <w:rsid w:val="004A7FD7"/>
    <w:rsid w:val="004B0F85"/>
    <w:rsid w:val="004B7E62"/>
    <w:rsid w:val="004C2BA6"/>
    <w:rsid w:val="004C7B5C"/>
    <w:rsid w:val="004D3EE3"/>
    <w:rsid w:val="004D3FEE"/>
    <w:rsid w:val="004E1357"/>
    <w:rsid w:val="004E2DF2"/>
    <w:rsid w:val="004E4AD7"/>
    <w:rsid w:val="004F06BF"/>
    <w:rsid w:val="004F366A"/>
    <w:rsid w:val="00520002"/>
    <w:rsid w:val="00520BED"/>
    <w:rsid w:val="00544A04"/>
    <w:rsid w:val="00550BD0"/>
    <w:rsid w:val="00553960"/>
    <w:rsid w:val="00553FA0"/>
    <w:rsid w:val="00560285"/>
    <w:rsid w:val="00576061"/>
    <w:rsid w:val="005842D5"/>
    <w:rsid w:val="0059413E"/>
    <w:rsid w:val="00594DAA"/>
    <w:rsid w:val="005A305E"/>
    <w:rsid w:val="005A49B3"/>
    <w:rsid w:val="005A62BB"/>
    <w:rsid w:val="005B7C39"/>
    <w:rsid w:val="005C568E"/>
    <w:rsid w:val="005E2075"/>
    <w:rsid w:val="005E4982"/>
    <w:rsid w:val="005F4896"/>
    <w:rsid w:val="006019BC"/>
    <w:rsid w:val="00604A87"/>
    <w:rsid w:val="006247FE"/>
    <w:rsid w:val="00626068"/>
    <w:rsid w:val="00637183"/>
    <w:rsid w:val="00637406"/>
    <w:rsid w:val="00644746"/>
    <w:rsid w:val="00652DC8"/>
    <w:rsid w:val="00657F6C"/>
    <w:rsid w:val="0066691C"/>
    <w:rsid w:val="006710F3"/>
    <w:rsid w:val="006712E4"/>
    <w:rsid w:val="0067393F"/>
    <w:rsid w:val="00674C0A"/>
    <w:rsid w:val="0067557F"/>
    <w:rsid w:val="00676C89"/>
    <w:rsid w:val="00680A78"/>
    <w:rsid w:val="00681E4D"/>
    <w:rsid w:val="00684892"/>
    <w:rsid w:val="006922C0"/>
    <w:rsid w:val="00692303"/>
    <w:rsid w:val="006B246B"/>
    <w:rsid w:val="006C6CD3"/>
    <w:rsid w:val="006D63FC"/>
    <w:rsid w:val="006E467C"/>
    <w:rsid w:val="006E4FE7"/>
    <w:rsid w:val="006E6FCF"/>
    <w:rsid w:val="006F120F"/>
    <w:rsid w:val="006F2284"/>
    <w:rsid w:val="007108A8"/>
    <w:rsid w:val="00726F66"/>
    <w:rsid w:val="0075343D"/>
    <w:rsid w:val="007644B7"/>
    <w:rsid w:val="00771CAC"/>
    <w:rsid w:val="00774131"/>
    <w:rsid w:val="007837D1"/>
    <w:rsid w:val="00796CA7"/>
    <w:rsid w:val="007A3AAE"/>
    <w:rsid w:val="007A4E6A"/>
    <w:rsid w:val="007B023D"/>
    <w:rsid w:val="007C0C39"/>
    <w:rsid w:val="007C0CE0"/>
    <w:rsid w:val="007C1D72"/>
    <w:rsid w:val="007C35DB"/>
    <w:rsid w:val="007C43A7"/>
    <w:rsid w:val="007C4A2B"/>
    <w:rsid w:val="007D1B52"/>
    <w:rsid w:val="007E3754"/>
    <w:rsid w:val="007F3180"/>
    <w:rsid w:val="00813D22"/>
    <w:rsid w:val="00827838"/>
    <w:rsid w:val="00833410"/>
    <w:rsid w:val="008357FB"/>
    <w:rsid w:val="00836ACB"/>
    <w:rsid w:val="00837BF6"/>
    <w:rsid w:val="008451A8"/>
    <w:rsid w:val="00864509"/>
    <w:rsid w:val="00870355"/>
    <w:rsid w:val="008776C6"/>
    <w:rsid w:val="00881B4C"/>
    <w:rsid w:val="008862AE"/>
    <w:rsid w:val="00896D9A"/>
    <w:rsid w:val="008B6103"/>
    <w:rsid w:val="008C3D1A"/>
    <w:rsid w:val="008C61FA"/>
    <w:rsid w:val="008D6B87"/>
    <w:rsid w:val="008E1DFA"/>
    <w:rsid w:val="008F3487"/>
    <w:rsid w:val="008F558C"/>
    <w:rsid w:val="008F572B"/>
    <w:rsid w:val="008F7113"/>
    <w:rsid w:val="009020EF"/>
    <w:rsid w:val="009051EE"/>
    <w:rsid w:val="00910DD1"/>
    <w:rsid w:val="00912528"/>
    <w:rsid w:val="00915746"/>
    <w:rsid w:val="0092054F"/>
    <w:rsid w:val="00921823"/>
    <w:rsid w:val="0092538D"/>
    <w:rsid w:val="00934E3F"/>
    <w:rsid w:val="009411DE"/>
    <w:rsid w:val="009412BB"/>
    <w:rsid w:val="009446F5"/>
    <w:rsid w:val="009447BB"/>
    <w:rsid w:val="00946804"/>
    <w:rsid w:val="00954F7E"/>
    <w:rsid w:val="00957F12"/>
    <w:rsid w:val="00973D3B"/>
    <w:rsid w:val="009809AB"/>
    <w:rsid w:val="009818CA"/>
    <w:rsid w:val="009964A7"/>
    <w:rsid w:val="009A7708"/>
    <w:rsid w:val="009B10F0"/>
    <w:rsid w:val="009B7D6D"/>
    <w:rsid w:val="009C62B8"/>
    <w:rsid w:val="009D3DA8"/>
    <w:rsid w:val="009D4A00"/>
    <w:rsid w:val="009E5812"/>
    <w:rsid w:val="009E6C1C"/>
    <w:rsid w:val="009F0753"/>
    <w:rsid w:val="009F6005"/>
    <w:rsid w:val="00A159EC"/>
    <w:rsid w:val="00A1642C"/>
    <w:rsid w:val="00A25CFD"/>
    <w:rsid w:val="00A32D59"/>
    <w:rsid w:val="00A35C0A"/>
    <w:rsid w:val="00A36C98"/>
    <w:rsid w:val="00A565E6"/>
    <w:rsid w:val="00A61A45"/>
    <w:rsid w:val="00A968B2"/>
    <w:rsid w:val="00AA2AC2"/>
    <w:rsid w:val="00AB3493"/>
    <w:rsid w:val="00AB4DD3"/>
    <w:rsid w:val="00AC2178"/>
    <w:rsid w:val="00AC2F27"/>
    <w:rsid w:val="00AC4082"/>
    <w:rsid w:val="00AD0F9E"/>
    <w:rsid w:val="00AD106E"/>
    <w:rsid w:val="00AD2633"/>
    <w:rsid w:val="00AE0809"/>
    <w:rsid w:val="00AE56FF"/>
    <w:rsid w:val="00AE6D20"/>
    <w:rsid w:val="00AF7074"/>
    <w:rsid w:val="00B01E11"/>
    <w:rsid w:val="00B06DD9"/>
    <w:rsid w:val="00B128CA"/>
    <w:rsid w:val="00B146D0"/>
    <w:rsid w:val="00B200F1"/>
    <w:rsid w:val="00B22010"/>
    <w:rsid w:val="00B23499"/>
    <w:rsid w:val="00B25D99"/>
    <w:rsid w:val="00B36293"/>
    <w:rsid w:val="00B36B90"/>
    <w:rsid w:val="00B432B2"/>
    <w:rsid w:val="00B45C25"/>
    <w:rsid w:val="00B47395"/>
    <w:rsid w:val="00B77781"/>
    <w:rsid w:val="00B77BA6"/>
    <w:rsid w:val="00B82C59"/>
    <w:rsid w:val="00B86E5F"/>
    <w:rsid w:val="00B91CEE"/>
    <w:rsid w:val="00B92028"/>
    <w:rsid w:val="00BA08B1"/>
    <w:rsid w:val="00BA67EE"/>
    <w:rsid w:val="00BB0DFE"/>
    <w:rsid w:val="00BB68DC"/>
    <w:rsid w:val="00BC318A"/>
    <w:rsid w:val="00BC393D"/>
    <w:rsid w:val="00BD1B66"/>
    <w:rsid w:val="00BD23B4"/>
    <w:rsid w:val="00BD58D8"/>
    <w:rsid w:val="00BD5B8B"/>
    <w:rsid w:val="00BE0EBF"/>
    <w:rsid w:val="00BE6625"/>
    <w:rsid w:val="00BE69AF"/>
    <w:rsid w:val="00BF445C"/>
    <w:rsid w:val="00C021B4"/>
    <w:rsid w:val="00C0642F"/>
    <w:rsid w:val="00C07C39"/>
    <w:rsid w:val="00C12232"/>
    <w:rsid w:val="00C140AB"/>
    <w:rsid w:val="00C1777D"/>
    <w:rsid w:val="00C22DC3"/>
    <w:rsid w:val="00C23528"/>
    <w:rsid w:val="00C2549A"/>
    <w:rsid w:val="00C26A29"/>
    <w:rsid w:val="00C32988"/>
    <w:rsid w:val="00C3665C"/>
    <w:rsid w:val="00C36841"/>
    <w:rsid w:val="00C503AE"/>
    <w:rsid w:val="00C52341"/>
    <w:rsid w:val="00C53A20"/>
    <w:rsid w:val="00C62300"/>
    <w:rsid w:val="00C62F1A"/>
    <w:rsid w:val="00C63371"/>
    <w:rsid w:val="00C63EA6"/>
    <w:rsid w:val="00C76E61"/>
    <w:rsid w:val="00C80CDA"/>
    <w:rsid w:val="00C85BF2"/>
    <w:rsid w:val="00C92AF2"/>
    <w:rsid w:val="00C94F62"/>
    <w:rsid w:val="00CA24B2"/>
    <w:rsid w:val="00CA4E46"/>
    <w:rsid w:val="00CC06F9"/>
    <w:rsid w:val="00CD3961"/>
    <w:rsid w:val="00CD4195"/>
    <w:rsid w:val="00CE04E6"/>
    <w:rsid w:val="00CE0ABB"/>
    <w:rsid w:val="00CE6E8C"/>
    <w:rsid w:val="00CF2900"/>
    <w:rsid w:val="00D016CE"/>
    <w:rsid w:val="00D02B78"/>
    <w:rsid w:val="00D03415"/>
    <w:rsid w:val="00D05EED"/>
    <w:rsid w:val="00D07116"/>
    <w:rsid w:val="00D07A02"/>
    <w:rsid w:val="00D106B0"/>
    <w:rsid w:val="00D15E51"/>
    <w:rsid w:val="00D21104"/>
    <w:rsid w:val="00D22AFD"/>
    <w:rsid w:val="00D25CAF"/>
    <w:rsid w:val="00D320AA"/>
    <w:rsid w:val="00D3241F"/>
    <w:rsid w:val="00D35F45"/>
    <w:rsid w:val="00D569FB"/>
    <w:rsid w:val="00D65330"/>
    <w:rsid w:val="00D67BEC"/>
    <w:rsid w:val="00D70BEF"/>
    <w:rsid w:val="00D72BF9"/>
    <w:rsid w:val="00D949B8"/>
    <w:rsid w:val="00D94C45"/>
    <w:rsid w:val="00D96DE7"/>
    <w:rsid w:val="00D97446"/>
    <w:rsid w:val="00DA3D5F"/>
    <w:rsid w:val="00DA5FA8"/>
    <w:rsid w:val="00DA7844"/>
    <w:rsid w:val="00DC06B9"/>
    <w:rsid w:val="00DC06D0"/>
    <w:rsid w:val="00DC70C0"/>
    <w:rsid w:val="00DE43FE"/>
    <w:rsid w:val="00DE6224"/>
    <w:rsid w:val="00DF74F0"/>
    <w:rsid w:val="00E02EA0"/>
    <w:rsid w:val="00E07FAA"/>
    <w:rsid w:val="00E201B8"/>
    <w:rsid w:val="00E21012"/>
    <w:rsid w:val="00E30B04"/>
    <w:rsid w:val="00E4159C"/>
    <w:rsid w:val="00E45792"/>
    <w:rsid w:val="00E47315"/>
    <w:rsid w:val="00E523F1"/>
    <w:rsid w:val="00E53533"/>
    <w:rsid w:val="00E70FE5"/>
    <w:rsid w:val="00E75F12"/>
    <w:rsid w:val="00E7774F"/>
    <w:rsid w:val="00E85ECF"/>
    <w:rsid w:val="00E92BE7"/>
    <w:rsid w:val="00E943D3"/>
    <w:rsid w:val="00E95E40"/>
    <w:rsid w:val="00EA47CF"/>
    <w:rsid w:val="00EC565E"/>
    <w:rsid w:val="00EC6D9E"/>
    <w:rsid w:val="00ED0C07"/>
    <w:rsid w:val="00ED1176"/>
    <w:rsid w:val="00ED245D"/>
    <w:rsid w:val="00ED2E89"/>
    <w:rsid w:val="00EE2DD3"/>
    <w:rsid w:val="00EE6E8C"/>
    <w:rsid w:val="00EE7DCC"/>
    <w:rsid w:val="00EF031B"/>
    <w:rsid w:val="00EF2798"/>
    <w:rsid w:val="00EF59DD"/>
    <w:rsid w:val="00F012B6"/>
    <w:rsid w:val="00F23879"/>
    <w:rsid w:val="00F30FBE"/>
    <w:rsid w:val="00F313A5"/>
    <w:rsid w:val="00F416E6"/>
    <w:rsid w:val="00F7224B"/>
    <w:rsid w:val="00F733A3"/>
    <w:rsid w:val="00FA30C4"/>
    <w:rsid w:val="00FB0715"/>
    <w:rsid w:val="00FD1947"/>
    <w:rsid w:val="00FE1E04"/>
    <w:rsid w:val="00FE5A35"/>
    <w:rsid w:val="00FF7C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15ED"/>
  <w15:chartTrackingRefBased/>
  <w15:docId w15:val="{F133A759-136E-4A73-8947-29A9E574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A56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265DAC"/>
    <w:pPr>
      <w:autoSpaceDE w:val="0"/>
      <w:autoSpaceDN w:val="0"/>
      <w:adjustRightInd w:val="0"/>
      <w:spacing w:after="0" w:line="240" w:lineRule="auto"/>
    </w:pPr>
    <w:rPr>
      <w:rFonts w:ascii="Times New Roman" w:hAnsi="Times New Roman" w:cs="Times New Roman"/>
      <w:color w:val="000000"/>
      <w:sz w:val="24"/>
      <w:szCs w:val="24"/>
    </w:rPr>
  </w:style>
  <w:style w:type="paragraph" w:styleId="Pis">
    <w:name w:val="header"/>
    <w:basedOn w:val="Normaallaad"/>
    <w:link w:val="PisMrk"/>
    <w:uiPriority w:val="99"/>
    <w:unhideWhenUsed/>
    <w:rsid w:val="00C80CDA"/>
    <w:pPr>
      <w:tabs>
        <w:tab w:val="center" w:pos="4536"/>
        <w:tab w:val="right" w:pos="9072"/>
      </w:tabs>
      <w:spacing w:after="0" w:line="240" w:lineRule="auto"/>
    </w:pPr>
  </w:style>
  <w:style w:type="character" w:customStyle="1" w:styleId="PisMrk">
    <w:name w:val="Päis Märk"/>
    <w:basedOn w:val="Liguvaikefont"/>
    <w:link w:val="Pis"/>
    <w:uiPriority w:val="99"/>
    <w:rsid w:val="00C80CDA"/>
  </w:style>
  <w:style w:type="paragraph" w:styleId="Jalus">
    <w:name w:val="footer"/>
    <w:basedOn w:val="Normaallaad"/>
    <w:link w:val="JalusMrk"/>
    <w:uiPriority w:val="99"/>
    <w:unhideWhenUsed/>
    <w:rsid w:val="00C80CDA"/>
    <w:pPr>
      <w:tabs>
        <w:tab w:val="center" w:pos="4536"/>
        <w:tab w:val="right" w:pos="9072"/>
      </w:tabs>
      <w:spacing w:after="0" w:line="240" w:lineRule="auto"/>
    </w:pPr>
  </w:style>
  <w:style w:type="character" w:customStyle="1" w:styleId="JalusMrk">
    <w:name w:val="Jalus Märk"/>
    <w:basedOn w:val="Liguvaikefont"/>
    <w:link w:val="Jalus"/>
    <w:uiPriority w:val="99"/>
    <w:rsid w:val="00C80CDA"/>
  </w:style>
  <w:style w:type="table" w:styleId="Kontuurtabel">
    <w:name w:val="Table Grid"/>
    <w:basedOn w:val="Normaaltabel"/>
    <w:uiPriority w:val="39"/>
    <w:rsid w:val="0067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C1777D"/>
    <w:pPr>
      <w:ind w:left="720"/>
      <w:contextualSpacing/>
    </w:pPr>
  </w:style>
  <w:style w:type="character" w:styleId="Kommentaariviide">
    <w:name w:val="annotation reference"/>
    <w:basedOn w:val="Liguvaikefont"/>
    <w:uiPriority w:val="99"/>
    <w:unhideWhenUsed/>
    <w:rsid w:val="00284208"/>
    <w:rPr>
      <w:sz w:val="16"/>
      <w:szCs w:val="16"/>
    </w:rPr>
  </w:style>
  <w:style w:type="paragraph" w:styleId="Kommentaaritekst">
    <w:name w:val="annotation text"/>
    <w:basedOn w:val="Normaallaad"/>
    <w:link w:val="KommentaaritekstMrk"/>
    <w:uiPriority w:val="99"/>
    <w:unhideWhenUsed/>
    <w:rsid w:val="00284208"/>
    <w:pPr>
      <w:spacing w:line="240" w:lineRule="auto"/>
    </w:pPr>
    <w:rPr>
      <w:sz w:val="20"/>
      <w:szCs w:val="20"/>
    </w:rPr>
  </w:style>
  <w:style w:type="character" w:customStyle="1" w:styleId="KommentaaritekstMrk">
    <w:name w:val="Kommentaari tekst Märk"/>
    <w:basedOn w:val="Liguvaikefont"/>
    <w:link w:val="Kommentaaritekst"/>
    <w:uiPriority w:val="99"/>
    <w:rsid w:val="00284208"/>
    <w:rPr>
      <w:sz w:val="20"/>
      <w:szCs w:val="20"/>
    </w:rPr>
  </w:style>
  <w:style w:type="paragraph" w:styleId="Kommentaariteema">
    <w:name w:val="annotation subject"/>
    <w:basedOn w:val="Kommentaaritekst"/>
    <w:next w:val="Kommentaaritekst"/>
    <w:link w:val="KommentaariteemaMrk"/>
    <w:uiPriority w:val="99"/>
    <w:semiHidden/>
    <w:unhideWhenUsed/>
    <w:rsid w:val="00284208"/>
    <w:rPr>
      <w:b/>
      <w:bCs/>
    </w:rPr>
  </w:style>
  <w:style w:type="character" w:customStyle="1" w:styleId="KommentaariteemaMrk">
    <w:name w:val="Kommentaari teema Märk"/>
    <w:basedOn w:val="KommentaaritekstMrk"/>
    <w:link w:val="Kommentaariteema"/>
    <w:uiPriority w:val="99"/>
    <w:semiHidden/>
    <w:rsid w:val="00284208"/>
    <w:rPr>
      <w:b/>
      <w:bCs/>
      <w:sz w:val="20"/>
      <w:szCs w:val="20"/>
    </w:rPr>
  </w:style>
  <w:style w:type="character" w:customStyle="1" w:styleId="normaltextrun">
    <w:name w:val="normaltextrun"/>
    <w:basedOn w:val="Liguvaikefont"/>
    <w:rsid w:val="00D22AFD"/>
  </w:style>
  <w:style w:type="paragraph" w:styleId="Vahedeta">
    <w:name w:val="No Spacing"/>
    <w:uiPriority w:val="1"/>
    <w:qFormat/>
    <w:rsid w:val="0020174C"/>
    <w:pPr>
      <w:spacing w:after="0" w:line="240" w:lineRule="auto"/>
    </w:pPr>
  </w:style>
  <w:style w:type="paragraph" w:styleId="Redaktsioon">
    <w:name w:val="Revision"/>
    <w:hidden/>
    <w:uiPriority w:val="99"/>
    <w:semiHidden/>
    <w:rsid w:val="00004881"/>
    <w:pPr>
      <w:spacing w:after="0" w:line="240" w:lineRule="auto"/>
    </w:pPr>
  </w:style>
  <w:style w:type="paragraph" w:styleId="Lihttekst">
    <w:name w:val="Plain Text"/>
    <w:basedOn w:val="Normaallaad"/>
    <w:link w:val="LihttekstMrk"/>
    <w:uiPriority w:val="99"/>
    <w:unhideWhenUsed/>
    <w:rsid w:val="004B7E62"/>
    <w:pPr>
      <w:spacing w:after="0" w:line="240" w:lineRule="auto"/>
    </w:pPr>
    <w:rPr>
      <w:rFonts w:ascii="Calibri" w:hAnsi="Calibri"/>
      <w:kern w:val="2"/>
      <w:szCs w:val="21"/>
      <w14:ligatures w14:val="standardContextual"/>
    </w:rPr>
  </w:style>
  <w:style w:type="character" w:customStyle="1" w:styleId="LihttekstMrk">
    <w:name w:val="Lihttekst Märk"/>
    <w:basedOn w:val="Liguvaikefont"/>
    <w:link w:val="Lihttekst"/>
    <w:uiPriority w:val="99"/>
    <w:rsid w:val="004B7E62"/>
    <w:rPr>
      <w:rFonts w:ascii="Calibri" w:hAnsi="Calibri"/>
      <w:kern w:val="2"/>
      <w:szCs w:val="21"/>
      <w14:ligatures w14:val="standardContextual"/>
    </w:rPr>
  </w:style>
  <w:style w:type="character" w:customStyle="1" w:styleId="Pealkiri1Mrk">
    <w:name w:val="Pealkiri 1 Märk"/>
    <w:basedOn w:val="Liguvaikefont"/>
    <w:link w:val="Pealkiri1"/>
    <w:uiPriority w:val="9"/>
    <w:rsid w:val="00A565E6"/>
    <w:rPr>
      <w:rFonts w:ascii="Times New Roman" w:eastAsia="Times New Roman" w:hAnsi="Times New Roman" w:cs="Times New Roman"/>
      <w:b/>
      <w:bCs/>
      <w:kern w:val="36"/>
      <w:sz w:val="48"/>
      <w:szCs w:val="4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3247">
      <w:bodyDiv w:val="1"/>
      <w:marLeft w:val="0"/>
      <w:marRight w:val="0"/>
      <w:marTop w:val="0"/>
      <w:marBottom w:val="0"/>
      <w:divBdr>
        <w:top w:val="none" w:sz="0" w:space="0" w:color="auto"/>
        <w:left w:val="none" w:sz="0" w:space="0" w:color="auto"/>
        <w:bottom w:val="none" w:sz="0" w:space="0" w:color="auto"/>
        <w:right w:val="none" w:sz="0" w:space="0" w:color="auto"/>
      </w:divBdr>
    </w:div>
    <w:div w:id="311907442">
      <w:bodyDiv w:val="1"/>
      <w:marLeft w:val="0"/>
      <w:marRight w:val="0"/>
      <w:marTop w:val="0"/>
      <w:marBottom w:val="0"/>
      <w:divBdr>
        <w:top w:val="none" w:sz="0" w:space="0" w:color="auto"/>
        <w:left w:val="none" w:sz="0" w:space="0" w:color="auto"/>
        <w:bottom w:val="none" w:sz="0" w:space="0" w:color="auto"/>
        <w:right w:val="none" w:sz="0" w:space="0" w:color="auto"/>
      </w:divBdr>
    </w:div>
    <w:div w:id="390227860">
      <w:bodyDiv w:val="1"/>
      <w:marLeft w:val="0"/>
      <w:marRight w:val="0"/>
      <w:marTop w:val="0"/>
      <w:marBottom w:val="0"/>
      <w:divBdr>
        <w:top w:val="none" w:sz="0" w:space="0" w:color="auto"/>
        <w:left w:val="none" w:sz="0" w:space="0" w:color="auto"/>
        <w:bottom w:val="none" w:sz="0" w:space="0" w:color="auto"/>
        <w:right w:val="none" w:sz="0" w:space="0" w:color="auto"/>
      </w:divBdr>
    </w:div>
    <w:div w:id="597521604">
      <w:bodyDiv w:val="1"/>
      <w:marLeft w:val="0"/>
      <w:marRight w:val="0"/>
      <w:marTop w:val="0"/>
      <w:marBottom w:val="0"/>
      <w:divBdr>
        <w:top w:val="none" w:sz="0" w:space="0" w:color="auto"/>
        <w:left w:val="none" w:sz="0" w:space="0" w:color="auto"/>
        <w:bottom w:val="none" w:sz="0" w:space="0" w:color="auto"/>
        <w:right w:val="none" w:sz="0" w:space="0" w:color="auto"/>
      </w:divBdr>
    </w:div>
    <w:div w:id="994527342">
      <w:bodyDiv w:val="1"/>
      <w:marLeft w:val="0"/>
      <w:marRight w:val="0"/>
      <w:marTop w:val="0"/>
      <w:marBottom w:val="0"/>
      <w:divBdr>
        <w:top w:val="none" w:sz="0" w:space="0" w:color="auto"/>
        <w:left w:val="none" w:sz="0" w:space="0" w:color="auto"/>
        <w:bottom w:val="none" w:sz="0" w:space="0" w:color="auto"/>
        <w:right w:val="none" w:sz="0" w:space="0" w:color="auto"/>
      </w:divBdr>
    </w:div>
    <w:div w:id="1117069043">
      <w:bodyDiv w:val="1"/>
      <w:marLeft w:val="0"/>
      <w:marRight w:val="0"/>
      <w:marTop w:val="0"/>
      <w:marBottom w:val="0"/>
      <w:divBdr>
        <w:top w:val="none" w:sz="0" w:space="0" w:color="auto"/>
        <w:left w:val="none" w:sz="0" w:space="0" w:color="auto"/>
        <w:bottom w:val="none" w:sz="0" w:space="0" w:color="auto"/>
        <w:right w:val="none" w:sz="0" w:space="0" w:color="auto"/>
      </w:divBdr>
    </w:div>
    <w:div w:id="1966891468">
      <w:bodyDiv w:val="1"/>
      <w:marLeft w:val="0"/>
      <w:marRight w:val="0"/>
      <w:marTop w:val="0"/>
      <w:marBottom w:val="0"/>
      <w:divBdr>
        <w:top w:val="none" w:sz="0" w:space="0" w:color="auto"/>
        <w:left w:val="none" w:sz="0" w:space="0" w:color="auto"/>
        <w:bottom w:val="none" w:sz="0" w:space="0" w:color="auto"/>
        <w:right w:val="none" w:sz="0" w:space="0" w:color="auto"/>
      </w:divBdr>
    </w:div>
    <w:div w:id="20792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8700-29B2-478F-A31D-024A4DB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1104</Words>
  <Characters>6409</Characters>
  <Application>Microsoft Office Word</Application>
  <DocSecurity>0</DocSecurity>
  <Lines>53</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Järv</dc:creator>
  <cp:keywords/>
  <dc:description/>
  <cp:lastModifiedBy>Ave Härsing</cp:lastModifiedBy>
  <cp:revision>4</cp:revision>
  <cp:lastPrinted>2024-04-22T11:36:00Z</cp:lastPrinted>
  <dcterms:created xsi:type="dcterms:W3CDTF">2024-05-17T07:47:00Z</dcterms:created>
  <dcterms:modified xsi:type="dcterms:W3CDTF">2024-05-17T07:58:00Z</dcterms:modified>
</cp:coreProperties>
</file>